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ABDA8EE" w14:textId="77777777" w:rsidR="008D3B7E" w:rsidRDefault="008D3B7E" w:rsidP="008D3B7E">
      <w:pPr>
        <w:spacing w:before="78"/>
        <w:ind w:left="1443" w:right="1441"/>
        <w:jc w:val="center"/>
        <w:rPr>
          <w:sz w:val="52"/>
        </w:rPr>
      </w:pPr>
    </w:p>
    <w:p w14:paraId="2BE23067" w14:textId="77777777" w:rsidR="008D3B7E" w:rsidRDefault="008D3B7E" w:rsidP="008D3B7E">
      <w:pPr>
        <w:spacing w:before="78"/>
        <w:ind w:left="1443" w:right="1441"/>
        <w:jc w:val="center"/>
        <w:rPr>
          <w:sz w:val="52"/>
        </w:rPr>
      </w:pPr>
    </w:p>
    <w:p w14:paraId="6912AC75" w14:textId="77777777" w:rsidR="008D3B7E" w:rsidRDefault="008D3B7E" w:rsidP="008D3B7E">
      <w:pPr>
        <w:spacing w:before="78"/>
        <w:ind w:left="1443" w:right="1441"/>
        <w:jc w:val="center"/>
        <w:rPr>
          <w:sz w:val="52"/>
        </w:rPr>
      </w:pPr>
    </w:p>
    <w:p w14:paraId="1729070E" w14:textId="77777777" w:rsidR="008D3B7E" w:rsidRDefault="008D3B7E" w:rsidP="008D3B7E">
      <w:pPr>
        <w:spacing w:before="78"/>
        <w:ind w:left="1443" w:right="1441"/>
        <w:jc w:val="center"/>
        <w:rPr>
          <w:sz w:val="52"/>
        </w:rPr>
      </w:pPr>
    </w:p>
    <w:p w14:paraId="53B3466A" w14:textId="77777777" w:rsidR="008D3B7E" w:rsidRDefault="008D3B7E" w:rsidP="008D3B7E">
      <w:pPr>
        <w:spacing w:before="78"/>
        <w:ind w:left="1443" w:right="1441"/>
        <w:jc w:val="center"/>
        <w:rPr>
          <w:sz w:val="52"/>
        </w:rPr>
      </w:pPr>
    </w:p>
    <w:p w14:paraId="07C248E6" w14:textId="77777777" w:rsidR="008D3B7E" w:rsidRDefault="008D3B7E" w:rsidP="008D3B7E">
      <w:pPr>
        <w:spacing w:before="78"/>
        <w:ind w:left="1443" w:right="1441"/>
        <w:jc w:val="center"/>
        <w:rPr>
          <w:sz w:val="52"/>
        </w:rPr>
      </w:pPr>
    </w:p>
    <w:p w14:paraId="5823F061" w14:textId="2FBE15A1" w:rsidR="008D3B7E" w:rsidRDefault="008D3B7E" w:rsidP="008D3B7E">
      <w:pPr>
        <w:spacing w:before="78"/>
        <w:ind w:left="1443" w:right="1441"/>
        <w:jc w:val="center"/>
        <w:rPr>
          <w:sz w:val="52"/>
        </w:rPr>
      </w:pPr>
      <w:r>
        <w:rPr>
          <w:sz w:val="52"/>
        </w:rPr>
        <w:t>Data and Safety Monitoring Plan</w:t>
      </w:r>
    </w:p>
    <w:p w14:paraId="75C99552" w14:textId="217C7E72" w:rsidR="008D3B7E" w:rsidRDefault="008D3B7E" w:rsidP="008D3B7E">
      <w:pPr>
        <w:spacing w:before="78"/>
        <w:ind w:left="1443" w:right="1441"/>
        <w:rPr>
          <w:sz w:val="52"/>
        </w:rPr>
      </w:pPr>
    </w:p>
    <w:p w14:paraId="5172740F" w14:textId="7C40F177" w:rsidR="008D3B7E" w:rsidRDefault="008D3B7E" w:rsidP="008D3B7E">
      <w:pPr>
        <w:pStyle w:val="BodyText"/>
        <w:rPr>
          <w:sz w:val="58"/>
        </w:rPr>
      </w:pPr>
    </w:p>
    <w:p w14:paraId="2EDB344C" w14:textId="627C6EDE" w:rsidR="008D3B7E" w:rsidRDefault="008D3B7E" w:rsidP="008D3B7E">
      <w:pPr>
        <w:pStyle w:val="BodyText"/>
        <w:rPr>
          <w:sz w:val="58"/>
        </w:rPr>
      </w:pPr>
      <w:r>
        <w:rPr>
          <w:noProof/>
        </w:rPr>
        <mc:AlternateContent>
          <mc:Choice Requires="wps">
            <w:drawing>
              <wp:inline distT="0" distB="0" distL="0" distR="0" wp14:anchorId="1CDEC0FC" wp14:editId="33B4AE09">
                <wp:extent cx="2489200" cy="743585"/>
                <wp:effectExtent l="0" t="0" r="25400" b="19050"/>
                <wp:docPr id="217" name="Text Box 217" descr="Purpose of template "/>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89200" cy="743585"/>
                        </a:xfrm>
                        <a:prstGeom prst="rect">
                          <a:avLst/>
                        </a:prstGeom>
                        <a:solidFill>
                          <a:srgbClr val="FFFFFF"/>
                        </a:solidFill>
                        <a:ln w="9525">
                          <a:solidFill>
                            <a:srgbClr val="000000"/>
                          </a:solidFill>
                          <a:miter lim="800000"/>
                          <a:headEnd/>
                          <a:tailEnd/>
                        </a:ln>
                      </wps:spPr>
                      <wps:txbx>
                        <w:txbxContent>
                          <w:p w14:paraId="7C2C72C3" w14:textId="556C5F3B" w:rsidR="008D3B7E" w:rsidRDefault="008D3B7E" w:rsidP="008D3B7E">
                            <w:pPr>
                              <w:jc w:val="center"/>
                              <w:rPr>
                                <w:color w:val="7030A0"/>
                              </w:rPr>
                            </w:pPr>
                            <w:r w:rsidRPr="00D021F5">
                              <w:rPr>
                                <w:color w:val="7030A0"/>
                              </w:rPr>
                              <w:t>Use this template to create a DSMP for your research project.</w:t>
                            </w:r>
                          </w:p>
                          <w:p w14:paraId="503BAA89" w14:textId="77777777" w:rsidR="008D3B7E" w:rsidRDefault="008D3B7E" w:rsidP="008D3B7E">
                            <w:pPr>
                              <w:jc w:val="center"/>
                              <w:rPr>
                                <w:color w:val="7030A0"/>
                              </w:rPr>
                            </w:pPr>
                          </w:p>
                          <w:p w14:paraId="1C0A21D0" w14:textId="77777777" w:rsidR="008D3B7E" w:rsidRPr="00D021F5" w:rsidRDefault="008D3B7E" w:rsidP="008D3B7E">
                            <w:pPr>
                              <w:rPr>
                                <w:color w:val="7030A0"/>
                              </w:rPr>
                            </w:pPr>
                            <w:r>
                              <w:rPr>
                                <w:color w:val="7030A0"/>
                              </w:rPr>
                              <w:t>REMOVE THIS TEXT BOX</w:t>
                            </w:r>
                            <w:r w:rsidRPr="00D021F5">
                              <w:rPr>
                                <w:color w:val="7030A0"/>
                              </w:rPr>
                              <w:t xml:space="preserve"> </w:t>
                            </w:r>
                          </w:p>
                        </w:txbxContent>
                      </wps:txbx>
                      <wps:bodyPr rot="0" vert="horz" wrap="square" lIns="91440" tIns="45720" rIns="91440" bIns="45720" anchor="t" anchorCtr="0">
                        <a:spAutoFit/>
                      </wps:bodyPr>
                    </wps:wsp>
                  </a:graphicData>
                </a:graphic>
              </wp:inline>
            </w:drawing>
          </mc:Choice>
          <mc:Fallback>
            <w:pict>
              <v:shapetype w14:anchorId="1CDEC0FC" id="_x0000_t202" coordsize="21600,21600" o:spt="202" path="m,l,21600r21600,l21600,xe">
                <v:stroke joinstyle="miter"/>
                <v:path gradientshapeok="t" o:connecttype="rect"/>
              </v:shapetype>
              <v:shape id="Text Box 217" o:spid="_x0000_s1026" type="#_x0000_t202" alt="Purpose of template " style="width:196pt;height:58.5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">
                <v:textbox style="mso-fit-shape-to-text:t">
                  <w:txbxContent>
                    <w:p w14:paraId="7C2C72C3" w14:textId="556C5F3B" w:rsidR="008D3B7E" w:rsidRDefault="008D3B7E" w:rsidP="008D3B7E">
                      <w:pPr>
                        <w:jc w:val="center"/>
                        <w:rPr>
                          <w:color w:val="7030A0"/>
                        </w:rPr>
                      </w:pPr>
                      <w:r w:rsidRPr="00D021F5">
                        <w:rPr>
                          <w:color w:val="7030A0"/>
                        </w:rPr>
                        <w:t>Use this template to create a DSMP for your research project.</w:t>
                      </w:r>
                    </w:p>
                    <w:p w14:paraId="503BAA89" w14:textId="77777777" w:rsidR="008D3B7E" w:rsidRDefault="008D3B7E" w:rsidP="008D3B7E">
                      <w:pPr>
                        <w:jc w:val="center"/>
                        <w:rPr>
                          <w:color w:val="7030A0"/>
                        </w:rPr>
                      </w:pPr>
                    </w:p>
                    <w:p w14:paraId="1C0A21D0" w14:textId="77777777" w:rsidR="008D3B7E" w:rsidRPr="00D021F5" w:rsidRDefault="008D3B7E" w:rsidP="008D3B7E">
                      <w:pPr>
                        <w:rPr>
                          <w:color w:val="7030A0"/>
                        </w:rPr>
                      </w:pPr>
                      <w:r>
                        <w:rPr>
                          <w:color w:val="7030A0"/>
                        </w:rPr>
                        <w:t>REMOVE THIS TEXT BOX</w:t>
                      </w:r>
                      <w:r w:rsidRPr="00D021F5">
                        <w:rPr>
                          <w:color w:val="7030A0"/>
                        </w:rPr>
                        <w:t xml:space="preserve"> </w:t>
                      </w:r>
                    </w:p>
                  </w:txbxContent>
                </v:textbox>
                <w10:anchorlock/>
              </v:shape>
            </w:pict>
          </mc:Fallback>
        </mc:AlternateContent>
      </w:r>
    </w:p>
    <w:p w14:paraId="2A722113" w14:textId="77777777" w:rsidR="008D3B7E" w:rsidRDefault="008D3B7E" w:rsidP="008D3B7E">
      <w:pPr>
        <w:pStyle w:val="BodyText"/>
        <w:rPr>
          <w:sz w:val="58"/>
        </w:rPr>
      </w:pPr>
    </w:p>
    <w:p w14:paraId="776BAB18" w14:textId="77777777" w:rsidR="008D3B7E" w:rsidRDefault="008D3B7E" w:rsidP="008D3B7E">
      <w:pPr>
        <w:pStyle w:val="BodyText"/>
        <w:rPr>
          <w:sz w:val="58"/>
        </w:rPr>
      </w:pPr>
    </w:p>
    <w:p w14:paraId="788FA5B6" w14:textId="77777777" w:rsidR="008D3B7E" w:rsidRDefault="008D3B7E" w:rsidP="008D3B7E">
      <w:pPr>
        <w:pStyle w:val="BodyText"/>
        <w:rPr>
          <w:sz w:val="58"/>
        </w:rPr>
      </w:pPr>
    </w:p>
    <w:p w14:paraId="39D529D5" w14:textId="77777777" w:rsidR="008D3B7E" w:rsidRDefault="008D3B7E" w:rsidP="008D3B7E">
      <w:pPr>
        <w:pStyle w:val="BodyText"/>
        <w:rPr>
          <w:sz w:val="58"/>
        </w:rPr>
      </w:pPr>
    </w:p>
    <w:p w14:paraId="41B2ADD1" w14:textId="77777777" w:rsidR="008D3B7E" w:rsidRDefault="008D3B7E" w:rsidP="008D3B7E">
      <w:pPr>
        <w:pStyle w:val="BodyText"/>
        <w:rPr>
          <w:sz w:val="58"/>
        </w:rPr>
      </w:pPr>
    </w:p>
    <w:p w14:paraId="7EC2F1CE" w14:textId="77777777" w:rsidR="008D3B7E" w:rsidRDefault="008D3B7E" w:rsidP="008D3B7E">
      <w:pPr>
        <w:pStyle w:val="BodyText"/>
        <w:rPr>
          <w:sz w:val="58"/>
        </w:rPr>
      </w:pPr>
    </w:p>
    <w:p w14:paraId="17C36599" w14:textId="77777777" w:rsidR="008D3B7E" w:rsidRDefault="008D3B7E" w:rsidP="008D3B7E">
      <w:pPr>
        <w:pStyle w:val="BodyText"/>
        <w:spacing w:before="4"/>
        <w:rPr>
          <w:sz w:val="49"/>
        </w:rPr>
      </w:pPr>
    </w:p>
    <w:p w14:paraId="3E1D5881" w14:textId="77777777" w:rsidR="008D3B7E" w:rsidRDefault="008D3B7E" w:rsidP="008D3B7E">
      <w:pPr>
        <w:spacing w:line="252" w:lineRule="exact"/>
        <w:ind w:left="1365" w:right="1441"/>
        <w:jc w:val="center"/>
      </w:pPr>
    </w:p>
    <w:p w14:paraId="06D91001" w14:textId="77777777" w:rsidR="008D3B7E" w:rsidRDefault="008D3B7E" w:rsidP="008D3B7E">
      <w:pPr>
        <w:pStyle w:val="BodyText"/>
        <w:rPr>
          <w:sz w:val="20"/>
        </w:rPr>
      </w:pPr>
    </w:p>
    <w:p w14:paraId="5047A03F" w14:textId="77777777" w:rsidR="008D3B7E" w:rsidRDefault="008D3B7E" w:rsidP="008D3B7E">
      <w:pPr>
        <w:pStyle w:val="BodyText"/>
        <w:rPr>
          <w:sz w:val="20"/>
        </w:rPr>
      </w:pPr>
    </w:p>
    <w:p w14:paraId="66DB7F54" w14:textId="77777777" w:rsidR="008D3B7E" w:rsidRDefault="008D3B7E" w:rsidP="008D3B7E">
      <w:pPr>
        <w:pStyle w:val="BodyText"/>
        <w:rPr>
          <w:sz w:val="20"/>
        </w:rPr>
      </w:pPr>
    </w:p>
    <w:p w14:paraId="7E1FC8FE" w14:textId="77777777" w:rsidR="008D3B7E" w:rsidRDefault="008D3B7E" w:rsidP="008D3B7E">
      <w:pPr>
        <w:pStyle w:val="BodyText"/>
        <w:rPr>
          <w:sz w:val="20"/>
        </w:rPr>
      </w:pPr>
    </w:p>
    <w:p w14:paraId="246EA106" w14:textId="385EA45D" w:rsidR="008D3B7E" w:rsidRDefault="008D3B7E" w:rsidP="008D3B7E">
      <w:pPr>
        <w:spacing w:before="234"/>
        <w:ind w:left="220"/>
        <w:rPr>
          <w:sz w:val="36"/>
        </w:rPr>
      </w:pPr>
      <w:r>
        <w:rPr>
          <w:noProof/>
        </w:rPr>
        <w:lastRenderedPageBreak/>
        <mc:AlternateContent>
          <mc:Choice Requires="wps">
            <w:drawing>
              <wp:anchor distT="0" distB="0" distL="114300" distR="114300" simplePos="0" relativeHeight="251659264" behindDoc="0" locked="0" layoutInCell="1" allowOverlap="1" wp14:anchorId="29393CC4" wp14:editId="777065AE">
                <wp:simplePos x="0" y="0"/>
                <wp:positionH relativeFrom="page">
                  <wp:posOffset>896620</wp:posOffset>
                </wp:positionH>
                <wp:positionV relativeFrom="paragraph">
                  <wp:posOffset>435610</wp:posOffset>
                </wp:positionV>
                <wp:extent cx="5981700" cy="0"/>
                <wp:effectExtent l="10795" t="6985" r="8255" b="12065"/>
                <wp:wrapNone/>
                <wp:docPr id="1" name="Straight Connector 1">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81700" cy="0"/>
                        </a:xfrm>
                        <a:prstGeom prst="line">
                          <a:avLst/>
                        </a:prstGeom>
                        <a:noFill/>
                        <a:ln w="508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2C1BA2D"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 from="70.6pt,34.3pt" to="541.6pt,34.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" strokeweight=".4pt">
                <w10:wrap anchorx="page"/>
              </v:line>
            </w:pict>
          </mc:Fallback>
        </mc:AlternateContent>
      </w:r>
      <w:r>
        <w:rPr>
          <w:sz w:val="36"/>
        </w:rPr>
        <w:t>Table of Contents</w:t>
      </w:r>
    </w:p>
    <w:sdt>
      <w:sdtPr>
        <w:rPr>
          <w:sz w:val="22"/>
          <w:szCs w:val="22"/>
        </w:rPr>
        <w:id w:val="748462063"/>
        <w:docPartObj>
          <w:docPartGallery w:val="Table of Contents"/>
          <w:docPartUnique/>
        </w:docPartObj>
      </w:sdtPr>
      <w:sdtEndPr/>
      <w:sdtContent>
        <w:p w14:paraId="43243A9F" w14:textId="77777777" w:rsidR="008D3B7E" w:rsidRDefault="008D3B7E" w:rsidP="008D3B7E">
          <w:pPr>
            <w:pStyle w:val="TOC1"/>
            <w:numPr>
              <w:ilvl w:val="0"/>
              <w:numId w:val="6"/>
            </w:numPr>
            <w:tabs>
              <w:tab w:val="left" w:pos="493"/>
              <w:tab w:val="right" w:leader="dot" w:pos="9575"/>
            </w:tabs>
            <w:spacing w:before="238"/>
            <w:ind w:hanging="273"/>
          </w:pPr>
          <w:r>
            <w:fldChar w:fldCharType="begin"/>
          </w:r>
          <w:r>
            <w:instrText xml:space="preserve">TOC \o "1-2" \h \z \u </w:instrText>
          </w:r>
          <w:r>
            <w:fldChar w:fldCharType="separate"/>
          </w:r>
          <w:hyperlink w:anchor="_bookmark0" w:history="1">
            <w:r>
              <w:t>Overview</w:t>
            </w:r>
            <w:r>
              <w:tab/>
              <w:t>5</w:t>
            </w:r>
          </w:hyperlink>
        </w:p>
        <w:p w14:paraId="5FE9BEA0" w14:textId="77777777" w:rsidR="008D3B7E" w:rsidRDefault="008A0622" w:rsidP="008D3B7E">
          <w:pPr>
            <w:pStyle w:val="TOC2"/>
            <w:numPr>
              <w:ilvl w:val="1"/>
              <w:numId w:val="6"/>
            </w:numPr>
            <w:tabs>
              <w:tab w:val="left" w:pos="1100"/>
              <w:tab w:val="left" w:pos="1101"/>
              <w:tab w:val="right" w:leader="dot" w:pos="9575"/>
            </w:tabs>
            <w:spacing w:before="165"/>
            <w:ind w:hanging="661"/>
          </w:pPr>
          <w:hyperlink w:anchor="_bookmark1" w:history="1">
            <w:r w:rsidR="008D3B7E">
              <w:t>Clinical Trials Working</w:t>
            </w:r>
            <w:r w:rsidR="008D3B7E">
              <w:rPr>
                <w:spacing w:val="-4"/>
              </w:rPr>
              <w:t xml:space="preserve"> </w:t>
            </w:r>
            <w:r w:rsidR="008D3B7E">
              <w:t>Group (CTWG)</w:t>
            </w:r>
            <w:r w:rsidR="008D3B7E">
              <w:tab/>
              <w:t>5</w:t>
            </w:r>
          </w:hyperlink>
        </w:p>
        <w:p w14:paraId="2542EA4D" w14:textId="77777777" w:rsidR="008D3B7E" w:rsidRDefault="008A0622" w:rsidP="008D3B7E">
          <w:pPr>
            <w:pStyle w:val="TOC2"/>
            <w:numPr>
              <w:ilvl w:val="1"/>
              <w:numId w:val="6"/>
            </w:numPr>
            <w:tabs>
              <w:tab w:val="left" w:pos="1100"/>
              <w:tab w:val="left" w:pos="1101"/>
              <w:tab w:val="right" w:leader="dot" w:pos="9575"/>
            </w:tabs>
            <w:ind w:hanging="661"/>
          </w:pPr>
          <w:hyperlink w:anchor="_bookmark2" w:history="1">
            <w:r w:rsidR="008D3B7E">
              <w:t>Protocol Review and</w:t>
            </w:r>
            <w:r w:rsidR="008D3B7E">
              <w:rPr>
                <w:spacing w:val="-3"/>
              </w:rPr>
              <w:t xml:space="preserve"> </w:t>
            </w:r>
            <w:r w:rsidR="008D3B7E">
              <w:t>Monitoring</w:t>
            </w:r>
            <w:r w:rsidR="008D3B7E">
              <w:rPr>
                <w:spacing w:val="-5"/>
              </w:rPr>
              <w:t xml:space="preserve"> </w:t>
            </w:r>
            <w:r w:rsidR="008D3B7E">
              <w:t>Committee</w:t>
            </w:r>
            <w:r w:rsidR="008D3B7E">
              <w:tab/>
              <w:t>6</w:t>
            </w:r>
          </w:hyperlink>
        </w:p>
        <w:p w14:paraId="13234E36" w14:textId="77777777" w:rsidR="008D3B7E" w:rsidRDefault="008A0622" w:rsidP="008D3B7E">
          <w:pPr>
            <w:pStyle w:val="TOC2"/>
            <w:numPr>
              <w:ilvl w:val="1"/>
              <w:numId w:val="6"/>
            </w:numPr>
            <w:tabs>
              <w:tab w:val="left" w:pos="1100"/>
              <w:tab w:val="left" w:pos="1101"/>
              <w:tab w:val="right" w:leader="dot" w:pos="9575"/>
            </w:tabs>
            <w:spacing w:before="144"/>
            <w:ind w:hanging="661"/>
          </w:pPr>
          <w:hyperlink w:anchor="_bookmark3" w:history="1">
            <w:r w:rsidR="008D3B7E">
              <w:t>Data Safety and Toxicity</w:t>
            </w:r>
            <w:r w:rsidR="008D3B7E">
              <w:rPr>
                <w:spacing w:val="-16"/>
              </w:rPr>
              <w:t xml:space="preserve"> </w:t>
            </w:r>
            <w:r w:rsidR="008D3B7E">
              <w:t>Committee</w:t>
            </w:r>
            <w:r w:rsidR="008D3B7E">
              <w:rPr>
                <w:spacing w:val="1"/>
              </w:rPr>
              <w:t xml:space="preserve"> </w:t>
            </w:r>
            <w:r w:rsidR="008D3B7E">
              <w:t>(DSTC)</w:t>
            </w:r>
            <w:r w:rsidR="008D3B7E">
              <w:tab/>
              <w:t>6</w:t>
            </w:r>
          </w:hyperlink>
        </w:p>
        <w:p w14:paraId="4C7C36F9" w14:textId="77777777" w:rsidR="008D3B7E" w:rsidRDefault="008A0622" w:rsidP="008D3B7E">
          <w:pPr>
            <w:pStyle w:val="TOC1"/>
            <w:numPr>
              <w:ilvl w:val="0"/>
              <w:numId w:val="6"/>
            </w:numPr>
            <w:tabs>
              <w:tab w:val="left" w:pos="493"/>
              <w:tab w:val="right" w:leader="dot" w:pos="9575"/>
            </w:tabs>
            <w:ind w:hanging="273"/>
          </w:pPr>
          <w:hyperlink w:anchor="_bookmark4" w:history="1">
            <w:r w:rsidR="008D3B7E">
              <w:t>Guidelines for Protocol Data and Safety</w:t>
            </w:r>
            <w:r w:rsidR="008D3B7E">
              <w:rPr>
                <w:spacing w:val="-9"/>
              </w:rPr>
              <w:t xml:space="preserve"> </w:t>
            </w:r>
            <w:r w:rsidR="008D3B7E">
              <w:t>Monitoring</w:t>
            </w:r>
            <w:r w:rsidR="008D3B7E">
              <w:rPr>
                <w:spacing w:val="-5"/>
              </w:rPr>
              <w:t xml:space="preserve"> </w:t>
            </w:r>
            <w:r w:rsidR="008D3B7E">
              <w:t>Implementation</w:t>
            </w:r>
            <w:r w:rsidR="008D3B7E">
              <w:tab/>
              <w:t>7</w:t>
            </w:r>
          </w:hyperlink>
        </w:p>
        <w:p w14:paraId="5455C1A0" w14:textId="77777777" w:rsidR="008D3B7E" w:rsidRDefault="008A0622" w:rsidP="008D3B7E">
          <w:pPr>
            <w:pStyle w:val="TOC2"/>
            <w:numPr>
              <w:ilvl w:val="1"/>
              <w:numId w:val="6"/>
            </w:numPr>
            <w:tabs>
              <w:tab w:val="left" w:pos="1100"/>
              <w:tab w:val="left" w:pos="1101"/>
              <w:tab w:val="right" w:leader="dot" w:pos="9575"/>
            </w:tabs>
            <w:spacing w:before="160"/>
            <w:ind w:hanging="661"/>
          </w:pPr>
          <w:hyperlink w:anchor="_bookmark5" w:history="1">
            <w:r w:rsidR="008D3B7E">
              <w:t>Required Elements of a Protocol Data and Safety</w:t>
            </w:r>
            <w:r w:rsidR="008D3B7E">
              <w:rPr>
                <w:spacing w:val="-13"/>
              </w:rPr>
              <w:t xml:space="preserve"> </w:t>
            </w:r>
            <w:r w:rsidR="008D3B7E">
              <w:t>Monitoring</w:t>
            </w:r>
            <w:r w:rsidR="008D3B7E">
              <w:rPr>
                <w:spacing w:val="-5"/>
              </w:rPr>
              <w:t xml:space="preserve"> </w:t>
            </w:r>
            <w:r w:rsidR="008D3B7E">
              <w:t>Plan</w:t>
            </w:r>
            <w:r w:rsidR="008D3B7E">
              <w:tab/>
              <w:t>8</w:t>
            </w:r>
          </w:hyperlink>
        </w:p>
        <w:p w14:paraId="78F208CA" w14:textId="77777777" w:rsidR="008D3B7E" w:rsidRDefault="008A0622" w:rsidP="008D3B7E">
          <w:pPr>
            <w:pStyle w:val="TOC2"/>
            <w:numPr>
              <w:ilvl w:val="1"/>
              <w:numId w:val="6"/>
            </w:numPr>
            <w:tabs>
              <w:tab w:val="left" w:pos="1100"/>
              <w:tab w:val="left" w:pos="1101"/>
              <w:tab w:val="right" w:leader="dot" w:pos="9575"/>
            </w:tabs>
            <w:spacing w:before="144"/>
            <w:ind w:hanging="661"/>
          </w:pPr>
          <w:hyperlink w:anchor="_bookmark6" w:history="1">
            <w:r w:rsidR="008D3B7E">
              <w:t>Oversight</w:t>
            </w:r>
            <w:r w:rsidR="008D3B7E">
              <w:rPr>
                <w:spacing w:val="-1"/>
              </w:rPr>
              <w:t xml:space="preserve"> </w:t>
            </w:r>
            <w:r w:rsidR="008D3B7E">
              <w:t>Responsibilities</w:t>
            </w:r>
            <w:r w:rsidR="008D3B7E">
              <w:tab/>
              <w:t>8</w:t>
            </w:r>
          </w:hyperlink>
        </w:p>
        <w:p w14:paraId="78481C46" w14:textId="77777777" w:rsidR="008D3B7E" w:rsidRDefault="008A0622" w:rsidP="008D3B7E">
          <w:pPr>
            <w:pStyle w:val="TOC2"/>
            <w:numPr>
              <w:ilvl w:val="1"/>
              <w:numId w:val="6"/>
            </w:numPr>
            <w:tabs>
              <w:tab w:val="left" w:pos="1100"/>
              <w:tab w:val="left" w:pos="1101"/>
              <w:tab w:val="right" w:leader="dot" w:pos="9575"/>
            </w:tabs>
            <w:ind w:hanging="661"/>
          </w:pPr>
          <w:hyperlink w:anchor="_bookmark7" w:history="1">
            <w:r w:rsidR="008D3B7E">
              <w:t>Protocol</w:t>
            </w:r>
            <w:r w:rsidR="008D3B7E">
              <w:rPr>
                <w:spacing w:val="-1"/>
              </w:rPr>
              <w:t xml:space="preserve"> </w:t>
            </w:r>
            <w:r w:rsidR="008D3B7E">
              <w:t>Risk Assessment</w:t>
            </w:r>
            <w:r w:rsidR="008D3B7E">
              <w:tab/>
              <w:t>9</w:t>
            </w:r>
          </w:hyperlink>
        </w:p>
        <w:p w14:paraId="0171A30B" w14:textId="77777777" w:rsidR="008D3B7E" w:rsidRDefault="008A0622" w:rsidP="008D3B7E">
          <w:pPr>
            <w:pStyle w:val="TOC1"/>
            <w:numPr>
              <w:ilvl w:val="0"/>
              <w:numId w:val="6"/>
            </w:numPr>
            <w:tabs>
              <w:tab w:val="left" w:pos="880"/>
              <w:tab w:val="left" w:pos="881"/>
              <w:tab w:val="right" w:leader="dot" w:pos="9575"/>
            </w:tabs>
            <w:ind w:left="880" w:hanging="661"/>
          </w:pPr>
          <w:hyperlink w:anchor="_bookmark8" w:history="1">
            <w:r w:rsidR="008D3B7E">
              <w:t>Reporting</w:t>
            </w:r>
            <w:r w:rsidR="008D3B7E">
              <w:rPr>
                <w:spacing w:val="-5"/>
              </w:rPr>
              <w:t xml:space="preserve"> </w:t>
            </w:r>
            <w:r w:rsidR="008D3B7E">
              <w:t>Requirements</w:t>
            </w:r>
            <w:r w:rsidR="008D3B7E">
              <w:tab/>
              <w:t>10</w:t>
            </w:r>
          </w:hyperlink>
        </w:p>
        <w:p w14:paraId="7F8888FA" w14:textId="77777777" w:rsidR="008D3B7E" w:rsidRDefault="008A0622" w:rsidP="008D3B7E">
          <w:pPr>
            <w:pStyle w:val="TOC2"/>
            <w:numPr>
              <w:ilvl w:val="1"/>
              <w:numId w:val="6"/>
            </w:numPr>
            <w:tabs>
              <w:tab w:val="left" w:pos="1100"/>
              <w:tab w:val="left" w:pos="1101"/>
              <w:tab w:val="right" w:leader="dot" w:pos="9575"/>
            </w:tabs>
            <w:spacing w:before="164"/>
            <w:ind w:hanging="661"/>
          </w:pPr>
          <w:hyperlink w:anchor="_bookmark9" w:history="1">
            <w:r w:rsidR="008D3B7E">
              <w:t>Serious Adverse Events – Internally</w:t>
            </w:r>
            <w:r w:rsidR="008D3B7E">
              <w:rPr>
                <w:spacing w:val="-9"/>
              </w:rPr>
              <w:t xml:space="preserve"> </w:t>
            </w:r>
            <w:r w:rsidR="008D3B7E">
              <w:t>Reviewed Trials</w:t>
            </w:r>
            <w:r w:rsidR="008D3B7E">
              <w:tab/>
              <w:t>10</w:t>
            </w:r>
          </w:hyperlink>
        </w:p>
        <w:p w14:paraId="33FBD090" w14:textId="77777777" w:rsidR="008D3B7E" w:rsidRDefault="008A0622" w:rsidP="008D3B7E">
          <w:pPr>
            <w:pStyle w:val="TOC2"/>
            <w:numPr>
              <w:ilvl w:val="1"/>
              <w:numId w:val="6"/>
            </w:numPr>
            <w:tabs>
              <w:tab w:val="left" w:pos="1100"/>
              <w:tab w:val="left" w:pos="1101"/>
              <w:tab w:val="right" w:leader="dot" w:pos="9575"/>
            </w:tabs>
            <w:ind w:hanging="661"/>
          </w:pPr>
          <w:hyperlink w:anchor="_bookmark10" w:history="1">
            <w:r w:rsidR="008D3B7E">
              <w:t>Serious Adverse Event – Externally</w:t>
            </w:r>
            <w:r w:rsidR="008D3B7E">
              <w:rPr>
                <w:spacing w:val="-6"/>
              </w:rPr>
              <w:t xml:space="preserve"> </w:t>
            </w:r>
            <w:r w:rsidR="008D3B7E">
              <w:t>sponsored studies</w:t>
            </w:r>
            <w:r w:rsidR="008D3B7E">
              <w:tab/>
              <w:t>10</w:t>
            </w:r>
          </w:hyperlink>
        </w:p>
        <w:p w14:paraId="5E7CFF59" w14:textId="77777777" w:rsidR="008D3B7E" w:rsidRDefault="008A0622" w:rsidP="008D3B7E">
          <w:pPr>
            <w:pStyle w:val="TOC2"/>
            <w:numPr>
              <w:ilvl w:val="1"/>
              <w:numId w:val="6"/>
            </w:numPr>
            <w:tabs>
              <w:tab w:val="left" w:pos="1100"/>
              <w:tab w:val="left" w:pos="1101"/>
              <w:tab w:val="right" w:leader="dot" w:pos="9575"/>
            </w:tabs>
            <w:spacing w:before="141"/>
            <w:ind w:hanging="661"/>
          </w:pPr>
          <w:hyperlink w:anchor="_bookmark11" w:history="1">
            <w:r w:rsidR="008D3B7E">
              <w:t>Protocol Summary</w:t>
            </w:r>
            <w:r w:rsidR="008D3B7E">
              <w:rPr>
                <w:spacing w:val="-8"/>
              </w:rPr>
              <w:t xml:space="preserve"> </w:t>
            </w:r>
            <w:r w:rsidR="008D3B7E">
              <w:t>Report</w:t>
            </w:r>
            <w:r w:rsidR="008D3B7E">
              <w:tab/>
              <w:t>10</w:t>
            </w:r>
          </w:hyperlink>
        </w:p>
        <w:p w14:paraId="7C5CEDC4" w14:textId="77777777" w:rsidR="008D3B7E" w:rsidRDefault="008A0622" w:rsidP="008D3B7E">
          <w:pPr>
            <w:pStyle w:val="TOC1"/>
            <w:numPr>
              <w:ilvl w:val="0"/>
              <w:numId w:val="6"/>
            </w:numPr>
            <w:tabs>
              <w:tab w:val="left" w:pos="880"/>
              <w:tab w:val="left" w:pos="881"/>
              <w:tab w:val="right" w:leader="dot" w:pos="9575"/>
            </w:tabs>
            <w:spacing w:before="144"/>
            <w:ind w:left="880" w:hanging="661"/>
          </w:pPr>
          <w:hyperlink w:anchor="_bookmark12" w:history="1">
            <w:r w:rsidR="008D3B7E">
              <w:t>Quality</w:t>
            </w:r>
            <w:r w:rsidR="008D3B7E">
              <w:rPr>
                <w:spacing w:val="-6"/>
              </w:rPr>
              <w:t xml:space="preserve"> </w:t>
            </w:r>
            <w:r w:rsidR="008D3B7E">
              <w:t>Assurance</w:t>
            </w:r>
            <w:r w:rsidR="008D3B7E">
              <w:tab/>
              <w:t>11</w:t>
            </w:r>
          </w:hyperlink>
        </w:p>
        <w:p w14:paraId="141A82C0" w14:textId="77777777" w:rsidR="008D3B7E" w:rsidRDefault="008A0622" w:rsidP="008D3B7E">
          <w:pPr>
            <w:pStyle w:val="TOC2"/>
            <w:numPr>
              <w:ilvl w:val="1"/>
              <w:numId w:val="6"/>
            </w:numPr>
            <w:tabs>
              <w:tab w:val="left" w:pos="1100"/>
              <w:tab w:val="left" w:pos="1101"/>
              <w:tab w:val="right" w:leader="dot" w:pos="9575"/>
            </w:tabs>
            <w:spacing w:before="160"/>
            <w:ind w:hanging="661"/>
          </w:pPr>
          <w:hyperlink w:anchor="_bookmark13" w:history="1">
            <w:r w:rsidR="008D3B7E">
              <w:t>Quality</w:t>
            </w:r>
            <w:r w:rsidR="008D3B7E">
              <w:rPr>
                <w:spacing w:val="-6"/>
              </w:rPr>
              <w:t xml:space="preserve"> </w:t>
            </w:r>
            <w:r w:rsidR="008D3B7E">
              <w:t>Assurance</w:t>
            </w:r>
            <w:r w:rsidR="008D3B7E">
              <w:rPr>
                <w:spacing w:val="1"/>
              </w:rPr>
              <w:t xml:space="preserve"> </w:t>
            </w:r>
            <w:r w:rsidR="008D3B7E">
              <w:t>Audits</w:t>
            </w:r>
            <w:r w:rsidR="008D3B7E">
              <w:tab/>
              <w:t>11</w:t>
            </w:r>
          </w:hyperlink>
        </w:p>
        <w:p w14:paraId="5816ADAE" w14:textId="77777777" w:rsidR="008D3B7E" w:rsidRDefault="008A0622" w:rsidP="008D3B7E">
          <w:pPr>
            <w:pStyle w:val="TOC2"/>
            <w:numPr>
              <w:ilvl w:val="1"/>
              <w:numId w:val="6"/>
            </w:numPr>
            <w:tabs>
              <w:tab w:val="left" w:pos="1100"/>
              <w:tab w:val="left" w:pos="1101"/>
              <w:tab w:val="right" w:leader="dot" w:pos="9575"/>
            </w:tabs>
            <w:ind w:hanging="661"/>
          </w:pPr>
          <w:hyperlink w:anchor="_bookmark14" w:history="1">
            <w:r w:rsidR="008D3B7E">
              <w:t>Response Review</w:t>
            </w:r>
            <w:r w:rsidR="008D3B7E">
              <w:tab/>
              <w:t>13</w:t>
            </w:r>
          </w:hyperlink>
        </w:p>
        <w:p w14:paraId="7911D34F" w14:textId="77777777" w:rsidR="008D3B7E" w:rsidRDefault="008A0622" w:rsidP="008D3B7E">
          <w:pPr>
            <w:pStyle w:val="TOC2"/>
            <w:numPr>
              <w:ilvl w:val="1"/>
              <w:numId w:val="6"/>
            </w:numPr>
            <w:tabs>
              <w:tab w:val="left" w:pos="1100"/>
              <w:tab w:val="left" w:pos="1101"/>
              <w:tab w:val="right" w:leader="dot" w:pos="9575"/>
            </w:tabs>
            <w:spacing w:before="129"/>
            <w:ind w:hanging="661"/>
          </w:pPr>
          <w:hyperlink w:anchor="_bookmark15" w:history="1">
            <w:r w:rsidR="008D3B7E">
              <w:t>Data Quality Control</w:t>
            </w:r>
            <w:r w:rsidR="008D3B7E">
              <w:rPr>
                <w:spacing w:val="-7"/>
              </w:rPr>
              <w:t xml:space="preserve"> </w:t>
            </w:r>
            <w:r w:rsidR="008D3B7E">
              <w:t>(OnCore</w:t>
            </w:r>
            <w:r w:rsidR="008D3B7E">
              <w:rPr>
                <w:position w:val="9"/>
                <w:sz w:val="16"/>
              </w:rPr>
              <w:t>®</w:t>
            </w:r>
            <w:r w:rsidR="008D3B7E">
              <w:rPr>
                <w:spacing w:val="18"/>
                <w:position w:val="9"/>
                <w:sz w:val="16"/>
              </w:rPr>
              <w:t xml:space="preserve"> </w:t>
            </w:r>
            <w:r w:rsidR="008D3B7E">
              <w:t>Database)</w:t>
            </w:r>
            <w:r w:rsidR="008D3B7E">
              <w:tab/>
              <w:t>14</w:t>
            </w:r>
          </w:hyperlink>
        </w:p>
        <w:p w14:paraId="3BE47B81" w14:textId="77777777" w:rsidR="008D3B7E" w:rsidRDefault="008D3B7E" w:rsidP="008D3B7E">
          <w:r>
            <w:fldChar w:fldCharType="end"/>
          </w:r>
        </w:p>
      </w:sdtContent>
    </w:sdt>
    <w:p w14:paraId="4762DCCE" w14:textId="77777777" w:rsidR="008D3B7E" w:rsidRDefault="008D3B7E" w:rsidP="008D3B7E">
      <w:pPr>
        <w:sectPr w:rsidR="008D3B7E" w:rsidSect="00156BE4">
          <w:headerReference w:type="default" r:id="rId10"/>
          <w:footerReference w:type="default" r:id="rId11"/>
          <w:pgSz w:w="12240" w:h="15840"/>
          <w:pgMar w:top="1354" w:right="1224" w:bottom="965" w:left="1224" w:header="720" w:footer="763" w:gutter="0"/>
          <w:pgNumType w:start="2"/>
          <w:cols w:space="720"/>
        </w:sectPr>
      </w:pPr>
    </w:p>
    <w:p w14:paraId="36BD959E" w14:textId="77777777" w:rsidR="008D3B7E" w:rsidRDefault="008D3B7E" w:rsidP="008D3B7E">
      <w:pPr>
        <w:pStyle w:val="BodyText"/>
        <w:rPr>
          <w:sz w:val="30"/>
        </w:rPr>
      </w:pPr>
    </w:p>
    <w:p w14:paraId="22218C84" w14:textId="77777777" w:rsidR="008D3B7E" w:rsidRPr="003333BB" w:rsidRDefault="008D3B7E" w:rsidP="008D3B7E">
      <w:pPr>
        <w:pStyle w:val="IRBHeadingA"/>
      </w:pPr>
      <w:r w:rsidRPr="003333BB">
        <w:t>Abbreviations</w:t>
      </w:r>
    </w:p>
    <w:p w14:paraId="7C186DAE" w14:textId="77777777" w:rsidR="008D3B7E" w:rsidRDefault="008D3B7E" w:rsidP="008D3B7E">
      <w:pPr>
        <w:pStyle w:val="BodyText"/>
        <w:spacing w:before="247"/>
        <w:ind w:left="220"/>
      </w:pPr>
      <w:r>
        <w:t>AE – Adverse Event</w:t>
      </w:r>
    </w:p>
    <w:p w14:paraId="5034A239" w14:textId="77777777" w:rsidR="008D3B7E" w:rsidRDefault="008D3B7E" w:rsidP="008D3B7E">
      <w:pPr>
        <w:pStyle w:val="BodyText"/>
        <w:spacing w:before="11"/>
        <w:rPr>
          <w:sz w:val="20"/>
        </w:rPr>
      </w:pPr>
    </w:p>
    <w:p w14:paraId="0E4041D9" w14:textId="77777777" w:rsidR="008D3B7E" w:rsidRDefault="008D3B7E" w:rsidP="008D3B7E">
      <w:pPr>
        <w:pStyle w:val="BodyText"/>
        <w:spacing w:line="451" w:lineRule="auto"/>
        <w:ind w:left="220" w:right="6640"/>
      </w:pPr>
      <w:r>
        <w:t>CAP – Corrective Action Plan CR – Complete Response</w:t>
      </w:r>
    </w:p>
    <w:p w14:paraId="522ACCD7" w14:textId="77777777" w:rsidR="008D3B7E" w:rsidRDefault="008D3B7E" w:rsidP="008D3B7E">
      <w:pPr>
        <w:pStyle w:val="BodyText"/>
        <w:spacing w:line="274" w:lineRule="exact"/>
        <w:ind w:left="220"/>
      </w:pPr>
      <w:r>
        <w:t>CRO – Clinical Research Organization</w:t>
      </w:r>
    </w:p>
    <w:p w14:paraId="4F0137FC" w14:textId="77777777" w:rsidR="008D3B7E" w:rsidRDefault="008D3B7E" w:rsidP="008D3B7E">
      <w:pPr>
        <w:pStyle w:val="BodyText"/>
        <w:spacing w:before="10"/>
        <w:rPr>
          <w:sz w:val="20"/>
        </w:rPr>
      </w:pPr>
    </w:p>
    <w:p w14:paraId="7CCD9D41" w14:textId="77777777" w:rsidR="008D3B7E" w:rsidRDefault="008D3B7E" w:rsidP="008D3B7E">
      <w:pPr>
        <w:pStyle w:val="BodyText"/>
        <w:ind w:left="220"/>
      </w:pPr>
      <w:r>
        <w:t>CTEP – Cancer Therapy Evaluation Program</w:t>
      </w:r>
    </w:p>
    <w:p w14:paraId="7716B73A" w14:textId="77777777" w:rsidR="008D3B7E" w:rsidRDefault="008D3B7E" w:rsidP="008D3B7E">
      <w:pPr>
        <w:pStyle w:val="BodyText"/>
        <w:spacing w:before="164" w:line="379" w:lineRule="auto"/>
        <w:ind w:left="220" w:right="4248"/>
      </w:pPr>
      <w:r>
        <w:t>CTEP-AERS - CTEP Adverse Event Reporting</w:t>
      </w:r>
      <w:r>
        <w:rPr>
          <w:spacing w:val="-21"/>
        </w:rPr>
        <w:t xml:space="preserve"> </w:t>
      </w:r>
      <w:r>
        <w:t>System CTRU – Clinical Trials Research</w:t>
      </w:r>
      <w:r>
        <w:rPr>
          <w:spacing w:val="-6"/>
        </w:rPr>
        <w:t xml:space="preserve"> </w:t>
      </w:r>
      <w:r>
        <w:t>Unit</w:t>
      </w:r>
    </w:p>
    <w:p w14:paraId="3D802C93" w14:textId="77777777" w:rsidR="008D3B7E" w:rsidRDefault="008D3B7E" w:rsidP="008D3B7E">
      <w:pPr>
        <w:pStyle w:val="BodyText"/>
        <w:spacing w:line="451" w:lineRule="auto"/>
        <w:ind w:left="220" w:right="5174"/>
      </w:pPr>
      <w:r>
        <w:t>CTWG – Clinical Trials Working Group DSMB – Data and Safety Monitoring Board DSMP – Data and Safety Monitoring Plan DSTC – Data Safety and Toxicity Committee eCRF – electronic Case Report</w:t>
      </w:r>
      <w:r>
        <w:rPr>
          <w:spacing w:val="-6"/>
        </w:rPr>
        <w:t xml:space="preserve"> </w:t>
      </w:r>
      <w:r>
        <w:t>Forms</w:t>
      </w:r>
    </w:p>
    <w:p w14:paraId="793ACAA8" w14:textId="77777777" w:rsidR="008D3B7E" w:rsidRDefault="008D3B7E" w:rsidP="008D3B7E">
      <w:pPr>
        <w:pStyle w:val="BodyText"/>
        <w:spacing w:line="448" w:lineRule="auto"/>
        <w:ind w:left="220" w:right="5873"/>
      </w:pPr>
      <w:r>
        <w:t>FDA – Food and Drug Administration GCP – Good Clinical Practice</w:t>
      </w:r>
    </w:p>
    <w:p w14:paraId="5F7D8544" w14:textId="77777777" w:rsidR="008D3B7E" w:rsidRDefault="008D3B7E" w:rsidP="008D3B7E">
      <w:pPr>
        <w:pStyle w:val="BodyText"/>
        <w:spacing w:line="448" w:lineRule="auto"/>
        <w:ind w:left="220" w:right="5641"/>
      </w:pPr>
      <w:r>
        <w:t>IDE – Investigational Device Exemption IND – Investigational New Drug</w:t>
      </w:r>
    </w:p>
    <w:p w14:paraId="6D6E73D1" w14:textId="77777777" w:rsidR="008D3B7E" w:rsidRDefault="008D3B7E" w:rsidP="008D3B7E">
      <w:pPr>
        <w:pStyle w:val="BodyText"/>
        <w:ind w:left="220"/>
      </w:pPr>
      <w:r>
        <w:t>IRB – Institutional Review Board</w:t>
      </w:r>
    </w:p>
    <w:p w14:paraId="415E0B44" w14:textId="77777777" w:rsidR="008D3B7E" w:rsidRDefault="008D3B7E" w:rsidP="008D3B7E">
      <w:pPr>
        <w:pStyle w:val="BodyText"/>
        <w:spacing w:before="1"/>
        <w:rPr>
          <w:sz w:val="21"/>
        </w:rPr>
      </w:pPr>
    </w:p>
    <w:p w14:paraId="4FE310BC" w14:textId="77777777" w:rsidR="008D3B7E" w:rsidRDefault="008D3B7E" w:rsidP="008D3B7E">
      <w:pPr>
        <w:pStyle w:val="BodyText"/>
        <w:spacing w:line="448" w:lineRule="auto"/>
        <w:ind w:left="220" w:right="4947"/>
      </w:pPr>
      <w:r>
        <w:t>MBRCC – Mary Babb Randolph WVU NCI – National Cancer Institute</w:t>
      </w:r>
    </w:p>
    <w:p w14:paraId="5505DEC0" w14:textId="77777777" w:rsidR="008D3B7E" w:rsidRDefault="008D3B7E" w:rsidP="008D3B7E">
      <w:pPr>
        <w:pStyle w:val="BodyText"/>
        <w:spacing w:before="1" w:line="451" w:lineRule="auto"/>
        <w:ind w:left="220" w:right="6780"/>
      </w:pPr>
      <w:r>
        <w:t>PI – Principal Investigator PR – Partial Response</w:t>
      </w:r>
    </w:p>
    <w:p w14:paraId="5D3F5F83" w14:textId="77777777" w:rsidR="008D3B7E" w:rsidRDefault="008D3B7E" w:rsidP="008D3B7E">
      <w:pPr>
        <w:pStyle w:val="BodyText"/>
        <w:spacing w:line="448" w:lineRule="auto"/>
        <w:ind w:left="220" w:right="4360"/>
      </w:pPr>
      <w:r>
        <w:t>PRMC – Protocol Review and Monitoring Committee PSR – Protocol Summary Reports</w:t>
      </w:r>
    </w:p>
    <w:p w14:paraId="634016C7" w14:textId="77777777" w:rsidR="008D3B7E" w:rsidRDefault="008D3B7E" w:rsidP="008D3B7E">
      <w:pPr>
        <w:spacing w:line="448" w:lineRule="auto"/>
        <w:sectPr w:rsidR="008D3B7E" w:rsidSect="00E11490">
          <w:pgSz w:w="12240" w:h="15840"/>
          <w:pgMar w:top="1360" w:right="1220" w:bottom="960" w:left="1220" w:header="576" w:footer="432" w:gutter="0"/>
          <w:cols w:space="720"/>
          <w:docGrid w:linePitch="299"/>
        </w:sectPr>
      </w:pPr>
    </w:p>
    <w:p w14:paraId="2CB6C99A" w14:textId="77777777" w:rsidR="008D3B7E" w:rsidRDefault="008D3B7E" w:rsidP="008D3B7E">
      <w:pPr>
        <w:pStyle w:val="BodyText"/>
        <w:spacing w:before="60" w:line="448" w:lineRule="auto"/>
        <w:ind w:left="220" w:right="7193"/>
      </w:pPr>
      <w:r>
        <w:lastRenderedPageBreak/>
        <w:t>QA – Quality Assurance RR – Response Review</w:t>
      </w:r>
    </w:p>
    <w:p w14:paraId="7B60F5B4" w14:textId="77777777" w:rsidR="008D3B7E" w:rsidRDefault="008D3B7E" w:rsidP="008D3B7E">
      <w:pPr>
        <w:pStyle w:val="BodyText"/>
        <w:spacing w:before="4" w:line="451" w:lineRule="auto"/>
        <w:ind w:left="220" w:right="6640"/>
      </w:pPr>
      <w:r>
        <w:t xml:space="preserve">SAE – Serious Adverse Event </w:t>
      </w:r>
      <w:proofErr w:type="spellStart"/>
      <w:r>
        <w:t>SoD</w:t>
      </w:r>
      <w:proofErr w:type="spellEnd"/>
      <w:r>
        <w:t xml:space="preserve"> – School of Dentistry </w:t>
      </w:r>
      <w:proofErr w:type="spellStart"/>
      <w:r>
        <w:t>SoM</w:t>
      </w:r>
      <w:proofErr w:type="spellEnd"/>
      <w:r>
        <w:t xml:space="preserve"> – School of Medicine </w:t>
      </w:r>
      <w:proofErr w:type="spellStart"/>
      <w:r>
        <w:t>SoP</w:t>
      </w:r>
      <w:proofErr w:type="spellEnd"/>
      <w:r>
        <w:t xml:space="preserve"> – School of Pharmacy</w:t>
      </w:r>
    </w:p>
    <w:p w14:paraId="51BEF5A6" w14:textId="77777777" w:rsidR="008D3B7E" w:rsidRDefault="008D3B7E" w:rsidP="008D3B7E">
      <w:pPr>
        <w:pStyle w:val="BodyText"/>
        <w:spacing w:line="269" w:lineRule="exact"/>
        <w:ind w:left="220"/>
      </w:pPr>
      <w:proofErr w:type="spellStart"/>
      <w:r>
        <w:t>SoPH</w:t>
      </w:r>
      <w:proofErr w:type="spellEnd"/>
      <w:r>
        <w:t xml:space="preserve"> – School of Public Health</w:t>
      </w:r>
    </w:p>
    <w:p w14:paraId="25E2B381" w14:textId="77777777" w:rsidR="008D3B7E" w:rsidRDefault="008D3B7E" w:rsidP="008D3B7E">
      <w:pPr>
        <w:pStyle w:val="BodyText"/>
        <w:spacing w:before="11"/>
        <w:rPr>
          <w:sz w:val="20"/>
        </w:rPr>
      </w:pPr>
    </w:p>
    <w:p w14:paraId="050D194F" w14:textId="77777777" w:rsidR="008D3B7E" w:rsidRDefault="008D3B7E" w:rsidP="008D3B7E">
      <w:pPr>
        <w:pStyle w:val="BodyText"/>
        <w:spacing w:line="451" w:lineRule="auto"/>
        <w:ind w:left="220" w:right="1900"/>
      </w:pPr>
      <w:r>
        <w:t>UPIRTPO – Unanticipated Problem Involving Risks to Participants or Others WVU – West Virginia University</w:t>
      </w:r>
    </w:p>
    <w:p w14:paraId="62909D13" w14:textId="77777777" w:rsidR="008D3B7E" w:rsidRDefault="008D3B7E" w:rsidP="008D3B7E">
      <w:pPr>
        <w:pStyle w:val="BodyText"/>
        <w:spacing w:line="274" w:lineRule="exact"/>
        <w:ind w:left="220"/>
      </w:pPr>
      <w:r>
        <w:t>WVUM – WVU Medicine</w:t>
      </w:r>
    </w:p>
    <w:p w14:paraId="60E6D6A4" w14:textId="77777777" w:rsidR="008D3B7E" w:rsidRDefault="008D3B7E" w:rsidP="008D3B7E">
      <w:pPr>
        <w:spacing w:line="274" w:lineRule="exact"/>
        <w:sectPr w:rsidR="008D3B7E">
          <w:pgSz w:w="12240" w:h="15840"/>
          <w:pgMar w:top="1360" w:right="1220" w:bottom="960" w:left="1220" w:header="720" w:footer="765" w:gutter="0"/>
          <w:cols w:space="720"/>
        </w:sectPr>
      </w:pPr>
    </w:p>
    <w:p w14:paraId="12C52B45" w14:textId="458CFC48" w:rsidR="008D3B7E" w:rsidRPr="003333BB" w:rsidRDefault="008D3B7E" w:rsidP="008D3B7E">
      <w:pPr>
        <w:pStyle w:val="IRBHeadingA"/>
        <w:numPr>
          <w:ilvl w:val="0"/>
          <w:numId w:val="7"/>
        </w:numPr>
      </w:pPr>
      <w:bookmarkStart w:id="0" w:name="_bookmark0"/>
      <w:bookmarkStart w:id="1" w:name="_GoBack"/>
      <w:bookmarkEnd w:id="0"/>
      <w:bookmarkEnd w:id="1"/>
      <w:r w:rsidRPr="003333BB">
        <w:lastRenderedPageBreak/>
        <w:t>Overview</w:t>
      </w:r>
    </w:p>
    <w:p w14:paraId="3119B9CE" w14:textId="77777777" w:rsidR="008D3B7E" w:rsidRDefault="008D3B7E" w:rsidP="008D3B7E">
      <w:pPr>
        <w:pStyle w:val="BodyText"/>
        <w:rPr>
          <w:b/>
          <w:sz w:val="30"/>
        </w:rPr>
      </w:pPr>
    </w:p>
    <w:p w14:paraId="42F9CF1B" w14:textId="19FFE4CF" w:rsidR="008D3B7E" w:rsidRPr="00D6093B" w:rsidRDefault="008D3B7E" w:rsidP="008D3B7E">
      <w:pPr>
        <w:spacing w:before="186" w:line="276" w:lineRule="auto"/>
        <w:ind w:left="220" w:right="435"/>
        <w:rPr>
          <w:b/>
          <w:sz w:val="24"/>
        </w:rPr>
      </w:pPr>
      <w:r w:rsidRPr="00D6093B">
        <w:rPr>
          <w:b/>
          <w:sz w:val="24"/>
        </w:rPr>
        <w:t>All aspects of non-externally reviewed studies conducted by West Virginia University are Study monitoring plans and are continuously monitored for patient safety, to ensure the veracity of the data and effective implementation.</w:t>
      </w:r>
    </w:p>
    <w:p w14:paraId="048B0C4A" w14:textId="77777777" w:rsidR="008D3B7E" w:rsidRPr="00D6093B" w:rsidRDefault="008D3B7E" w:rsidP="008D3B7E">
      <w:pPr>
        <w:spacing w:before="199" w:line="276" w:lineRule="auto"/>
        <w:ind w:left="220" w:right="435"/>
        <w:rPr>
          <w:b/>
          <w:sz w:val="24"/>
        </w:rPr>
      </w:pPr>
      <w:r w:rsidRPr="00D6093B">
        <w:rPr>
          <w:b/>
          <w:sz w:val="24"/>
        </w:rPr>
        <w:t>Other studies conducted at WVU are reviewed to confirm that the elements required to assure patient safety are present in the study protocol and carried out accordingly.</w:t>
      </w:r>
    </w:p>
    <w:p w14:paraId="65631F50" w14:textId="60424E67" w:rsidR="008D3B7E" w:rsidRPr="00D6093B" w:rsidRDefault="008D3B7E" w:rsidP="008D3B7E">
      <w:pPr>
        <w:pStyle w:val="BodyText"/>
        <w:spacing w:before="196" w:line="276" w:lineRule="auto"/>
        <w:ind w:left="220" w:right="215"/>
      </w:pPr>
      <w:r w:rsidRPr="00D6093B">
        <w:t>The WVU Data and Safety Monitoring Plan (DSMP) outlines our commitment to human subject protections at this institution. It is the framework for ensuring that all clinical trials conducted by the WVU adhere to the appropriate regulations and policies established by federal and local authorities. The DSMP serves as guidance for administrat</w:t>
      </w:r>
      <w:r w:rsidR="00733399">
        <w:t>ors</w:t>
      </w:r>
      <w:r w:rsidRPr="00D6093B">
        <w:t>, investigators, and research teams working to develop, conduct and monitor scientifically sound clinical trials while optimizing human subject research protections. The committees described in this document (further defined in WVU Blue Book) ensure that the DSMP is implemented and maintained for all clinical trials.</w:t>
      </w:r>
    </w:p>
    <w:p w14:paraId="26B53541" w14:textId="6AC6C013" w:rsidR="008D3B7E" w:rsidRPr="00D6093B" w:rsidRDefault="008D3B7E" w:rsidP="008D3B7E">
      <w:pPr>
        <w:pStyle w:val="BodyText"/>
        <w:spacing w:before="202" w:line="276" w:lineRule="auto"/>
        <w:ind w:left="220" w:right="215"/>
      </w:pPr>
      <w:r w:rsidRPr="00D6093B">
        <w:t>The Clinical Trials Working Group (CTWG) is an executive committee composed of WVU leaders, which provides administrative oversight of clinical research conducted at WVU. The Protocol Review and Monitoring Committee (PRMC) is responsible for reviewing all new clinical trials. In contrast, the Data Safety and Toxicity Committee (DSTC) is responsible for the safety and validity of data, toxicity and response reporting, and monitoring of WVU clinical research.</w:t>
      </w:r>
    </w:p>
    <w:p w14:paraId="10C8B564" w14:textId="77777777" w:rsidR="008D3B7E" w:rsidRPr="00EF2392" w:rsidRDefault="008D3B7E" w:rsidP="008D3B7E">
      <w:pPr>
        <w:pStyle w:val="Heading2"/>
        <w:numPr>
          <w:ilvl w:val="0"/>
          <w:numId w:val="4"/>
        </w:numPr>
        <w:tabs>
          <w:tab w:val="left" w:pos="940"/>
          <w:tab w:val="left" w:pos="941"/>
        </w:tabs>
        <w:spacing w:before="202"/>
        <w:ind w:hanging="721"/>
      </w:pPr>
      <w:bookmarkStart w:id="2" w:name="_bookmark1"/>
      <w:bookmarkEnd w:id="2"/>
      <w:r w:rsidRPr="00EF2392">
        <w:t>Clinical Trials Working Group</w:t>
      </w:r>
      <w:r w:rsidRPr="00EF2392">
        <w:rPr>
          <w:spacing w:val="-6"/>
        </w:rPr>
        <w:t xml:space="preserve"> </w:t>
      </w:r>
      <w:r w:rsidRPr="00EF2392">
        <w:t>(CTWG)</w:t>
      </w:r>
    </w:p>
    <w:p w14:paraId="7EE36855" w14:textId="77777777" w:rsidR="008D3B7E" w:rsidRPr="00EF2392" w:rsidRDefault="008D3B7E" w:rsidP="008D3B7E">
      <w:pPr>
        <w:pStyle w:val="BodyText"/>
        <w:spacing w:before="3"/>
        <w:rPr>
          <w:b/>
        </w:rPr>
      </w:pPr>
    </w:p>
    <w:p w14:paraId="75268F1E" w14:textId="77777777" w:rsidR="008D3B7E" w:rsidRPr="00EF2392" w:rsidRDefault="008D3B7E" w:rsidP="008D3B7E">
      <w:pPr>
        <w:pStyle w:val="BodyText"/>
        <w:spacing w:before="1" w:line="276" w:lineRule="auto"/>
        <w:ind w:left="220"/>
      </w:pPr>
      <w:r w:rsidRPr="00EF2392">
        <w:t xml:space="preserve">This working group </w:t>
      </w:r>
      <w:r>
        <w:t>e</w:t>
      </w:r>
      <w:r w:rsidRPr="00EF2392">
        <w:t>nsures that all aspects of the clinical research process at WVU are conducted according to prescribed standard operating procedures. The working group:</w:t>
      </w:r>
    </w:p>
    <w:p w14:paraId="634D770B" w14:textId="77777777" w:rsidR="008D3B7E" w:rsidRPr="00EF2392" w:rsidRDefault="008D3B7E" w:rsidP="008D3B7E">
      <w:pPr>
        <w:pStyle w:val="ListParagraph"/>
        <w:numPr>
          <w:ilvl w:val="1"/>
          <w:numId w:val="4"/>
        </w:numPr>
        <w:tabs>
          <w:tab w:val="left" w:pos="1301"/>
        </w:tabs>
        <w:spacing w:before="193"/>
        <w:ind w:right="1074"/>
        <w:rPr>
          <w:sz w:val="24"/>
        </w:rPr>
      </w:pPr>
      <w:r w:rsidRPr="00EF2392">
        <w:rPr>
          <w:sz w:val="24"/>
        </w:rPr>
        <w:t>Reviews and approves all WVU policies and procedures related to</w:t>
      </w:r>
      <w:r w:rsidRPr="00EF2392">
        <w:rPr>
          <w:spacing w:val="-22"/>
          <w:sz w:val="24"/>
        </w:rPr>
        <w:t xml:space="preserve"> </w:t>
      </w:r>
      <w:r w:rsidRPr="00EF2392">
        <w:rPr>
          <w:sz w:val="24"/>
        </w:rPr>
        <w:t>clinical research.</w:t>
      </w:r>
    </w:p>
    <w:p w14:paraId="2DDCD8A8" w14:textId="77777777" w:rsidR="008D3B7E" w:rsidRPr="00EF2392" w:rsidRDefault="008D3B7E" w:rsidP="008D3B7E">
      <w:pPr>
        <w:pStyle w:val="ListParagraph"/>
        <w:numPr>
          <w:ilvl w:val="1"/>
          <w:numId w:val="4"/>
        </w:numPr>
        <w:tabs>
          <w:tab w:val="left" w:pos="1301"/>
        </w:tabs>
        <w:spacing w:before="121"/>
        <w:rPr>
          <w:sz w:val="24"/>
        </w:rPr>
      </w:pPr>
      <w:r w:rsidRPr="00EF2392">
        <w:rPr>
          <w:sz w:val="24"/>
        </w:rPr>
        <w:t xml:space="preserve">Appoints membership and defines </w:t>
      </w:r>
      <w:r>
        <w:rPr>
          <w:sz w:val="24"/>
        </w:rPr>
        <w:t xml:space="preserve">the </w:t>
      </w:r>
      <w:r w:rsidRPr="00EF2392">
        <w:rPr>
          <w:sz w:val="24"/>
        </w:rPr>
        <w:t>responsibility of the PRMC and the</w:t>
      </w:r>
      <w:r w:rsidRPr="00EF2392">
        <w:rPr>
          <w:spacing w:val="-11"/>
          <w:sz w:val="24"/>
        </w:rPr>
        <w:t xml:space="preserve"> </w:t>
      </w:r>
      <w:r w:rsidRPr="00EF2392">
        <w:rPr>
          <w:sz w:val="24"/>
        </w:rPr>
        <w:t>DSTC.</w:t>
      </w:r>
    </w:p>
    <w:p w14:paraId="0C7081F2" w14:textId="77777777" w:rsidR="008D3B7E" w:rsidRPr="00EF2392" w:rsidRDefault="008D3B7E" w:rsidP="008D3B7E">
      <w:pPr>
        <w:pStyle w:val="ListParagraph"/>
        <w:numPr>
          <w:ilvl w:val="1"/>
          <w:numId w:val="4"/>
        </w:numPr>
        <w:tabs>
          <w:tab w:val="left" w:pos="1301"/>
        </w:tabs>
        <w:rPr>
          <w:sz w:val="24"/>
        </w:rPr>
      </w:pPr>
      <w:r w:rsidRPr="00EF2392">
        <w:rPr>
          <w:sz w:val="24"/>
        </w:rPr>
        <w:t>Serves as the review body for the PRMC and the</w:t>
      </w:r>
      <w:r w:rsidRPr="00EF2392">
        <w:rPr>
          <w:spacing w:val="-12"/>
          <w:sz w:val="24"/>
        </w:rPr>
        <w:t xml:space="preserve"> </w:t>
      </w:r>
      <w:r w:rsidRPr="00EF2392">
        <w:rPr>
          <w:sz w:val="24"/>
        </w:rPr>
        <w:t>DSTC.</w:t>
      </w:r>
    </w:p>
    <w:p w14:paraId="5335DD61" w14:textId="77777777" w:rsidR="008D3B7E" w:rsidRPr="00EF2392" w:rsidRDefault="008D3B7E" w:rsidP="008D3B7E">
      <w:pPr>
        <w:pStyle w:val="ListParagraph"/>
        <w:numPr>
          <w:ilvl w:val="1"/>
          <w:numId w:val="4"/>
        </w:numPr>
        <w:tabs>
          <w:tab w:val="left" w:pos="1301"/>
        </w:tabs>
        <w:ind w:right="1030"/>
        <w:rPr>
          <w:sz w:val="24"/>
        </w:rPr>
      </w:pPr>
      <w:r w:rsidRPr="00EF2392">
        <w:rPr>
          <w:sz w:val="24"/>
        </w:rPr>
        <w:t>Makes recommendations to WVU Senior Leadership for assignment</w:t>
      </w:r>
      <w:r w:rsidRPr="00EF2392">
        <w:rPr>
          <w:spacing w:val="-27"/>
          <w:sz w:val="24"/>
        </w:rPr>
        <w:t xml:space="preserve"> </w:t>
      </w:r>
      <w:r w:rsidRPr="00EF2392">
        <w:rPr>
          <w:sz w:val="24"/>
        </w:rPr>
        <w:t>of WVU and other shared resource</w:t>
      </w:r>
      <w:r w:rsidRPr="00EF2392">
        <w:rPr>
          <w:spacing w:val="-1"/>
          <w:sz w:val="24"/>
        </w:rPr>
        <w:t xml:space="preserve"> </w:t>
      </w:r>
      <w:r w:rsidRPr="00EF2392">
        <w:rPr>
          <w:sz w:val="24"/>
        </w:rPr>
        <w:t>support.</w:t>
      </w:r>
    </w:p>
    <w:p w14:paraId="547AC27B" w14:textId="77777777" w:rsidR="008D3B7E" w:rsidRDefault="008D3B7E" w:rsidP="008D3B7E">
      <w:pPr>
        <w:pStyle w:val="BodyText"/>
        <w:rPr>
          <w:sz w:val="26"/>
        </w:rPr>
      </w:pPr>
    </w:p>
    <w:p w14:paraId="0483C646" w14:textId="77777777" w:rsidR="008D3B7E" w:rsidRDefault="008D3B7E" w:rsidP="008D3B7E">
      <w:pPr>
        <w:pStyle w:val="BodyText"/>
        <w:rPr>
          <w:sz w:val="30"/>
        </w:rPr>
      </w:pPr>
    </w:p>
    <w:p w14:paraId="1E12625C" w14:textId="363AA841" w:rsidR="008D3B7E" w:rsidRDefault="008D3B7E" w:rsidP="00733399">
      <w:pPr>
        <w:pStyle w:val="BodyText"/>
        <w:spacing w:line="273" w:lineRule="auto"/>
        <w:ind w:left="220" w:right="435"/>
      </w:pPr>
      <w:r>
        <w:t>Members of the CTWG are appointed by WVU Director. Their term is co-terminus with their leadership role. The CTWG meets once a month. Ad hoc meetings to address specific</w:t>
      </w:r>
      <w:r w:rsidR="00733399">
        <w:t xml:space="preserve"> </w:t>
      </w:r>
      <w:r>
        <w:t xml:space="preserve">issues that require immediate attention are scheduled to </w:t>
      </w:r>
      <w:r w:rsidR="001E4B19">
        <w:t>ensure</w:t>
      </w:r>
      <w:r>
        <w:t xml:space="preserve"> patient safety. The current CTWG Membership listing is maintained in the </w:t>
      </w:r>
      <w:hyperlink r:id="rId12">
        <w:r>
          <w:rPr>
            <w:color w:val="800080"/>
            <w:u w:val="single" w:color="800080"/>
          </w:rPr>
          <w:t>Clinical Trials Operations Manual (the Blue Book)</w:t>
        </w:r>
        <w:r>
          <w:t>.</w:t>
        </w:r>
      </w:hyperlink>
    </w:p>
    <w:p w14:paraId="425418B2" w14:textId="77777777" w:rsidR="008D3B7E" w:rsidRDefault="008D3B7E" w:rsidP="008D3B7E">
      <w:pPr>
        <w:pStyle w:val="BodyText"/>
        <w:rPr>
          <w:sz w:val="20"/>
        </w:rPr>
      </w:pPr>
    </w:p>
    <w:p w14:paraId="2F444420" w14:textId="77777777" w:rsidR="008D3B7E" w:rsidRDefault="008D3B7E" w:rsidP="008D3B7E">
      <w:pPr>
        <w:pStyle w:val="BodyText"/>
        <w:rPr>
          <w:sz w:val="20"/>
        </w:rPr>
      </w:pPr>
    </w:p>
    <w:p w14:paraId="68F642D5" w14:textId="77777777" w:rsidR="008D3B7E" w:rsidRDefault="008D3B7E" w:rsidP="008D3B7E">
      <w:pPr>
        <w:pStyle w:val="Heading2"/>
        <w:numPr>
          <w:ilvl w:val="0"/>
          <w:numId w:val="4"/>
        </w:numPr>
        <w:tabs>
          <w:tab w:val="left" w:pos="940"/>
          <w:tab w:val="left" w:pos="941"/>
        </w:tabs>
        <w:spacing w:before="222"/>
        <w:ind w:hanging="721"/>
      </w:pPr>
      <w:bookmarkStart w:id="3" w:name="_bookmark2"/>
      <w:bookmarkEnd w:id="3"/>
      <w:r>
        <w:lastRenderedPageBreak/>
        <w:t>Protocol Review and Monitoring</w:t>
      </w:r>
      <w:r>
        <w:rPr>
          <w:spacing w:val="-2"/>
        </w:rPr>
        <w:t xml:space="preserve"> </w:t>
      </w:r>
      <w:r>
        <w:t>Committee</w:t>
      </w:r>
    </w:p>
    <w:p w14:paraId="4A6EE2F5" w14:textId="77777777" w:rsidR="008D3B7E" w:rsidRDefault="008D3B7E" w:rsidP="008D3B7E">
      <w:pPr>
        <w:pStyle w:val="BodyText"/>
        <w:spacing w:before="7"/>
        <w:rPr>
          <w:b/>
          <w:sz w:val="23"/>
        </w:rPr>
      </w:pPr>
    </w:p>
    <w:p w14:paraId="1B05BB54" w14:textId="77777777" w:rsidR="008D3B7E" w:rsidRDefault="008D3B7E" w:rsidP="008D3B7E">
      <w:pPr>
        <w:pStyle w:val="BodyText"/>
        <w:ind w:left="220" w:right="483"/>
      </w:pPr>
      <w:r>
        <w:t>The CTWG delegates the responsibility for the evaluation of data and safety monitoring plans and the determination of potential conflicts of interest for all clinical research performed at WVU to the PRMC. Consistent with such the PRMC will be responsible for the following functions:</w:t>
      </w:r>
    </w:p>
    <w:p w14:paraId="45F055B0" w14:textId="77777777" w:rsidR="008D3B7E" w:rsidRDefault="008D3B7E" w:rsidP="008D3B7E">
      <w:pPr>
        <w:pStyle w:val="BodyText"/>
      </w:pPr>
    </w:p>
    <w:p w14:paraId="3014286A" w14:textId="03558A07" w:rsidR="008D3B7E" w:rsidRDefault="008D3B7E" w:rsidP="008D3B7E">
      <w:pPr>
        <w:pStyle w:val="ListParagraph"/>
        <w:numPr>
          <w:ilvl w:val="1"/>
          <w:numId w:val="4"/>
        </w:numPr>
        <w:tabs>
          <w:tab w:val="left" w:pos="1301"/>
        </w:tabs>
        <w:spacing w:before="1"/>
        <w:rPr>
          <w:sz w:val="24"/>
        </w:rPr>
      </w:pPr>
      <w:r>
        <w:rPr>
          <w:sz w:val="24"/>
        </w:rPr>
        <w:t>Reviews all new clinical trials for scientific merit, priorities</w:t>
      </w:r>
      <w:r w:rsidR="00733399">
        <w:rPr>
          <w:sz w:val="24"/>
        </w:rPr>
        <w:t>,</w:t>
      </w:r>
      <w:r>
        <w:rPr>
          <w:sz w:val="24"/>
        </w:rPr>
        <w:t xml:space="preserve"> and resource</w:t>
      </w:r>
      <w:r>
        <w:rPr>
          <w:spacing w:val="-32"/>
          <w:sz w:val="24"/>
        </w:rPr>
        <w:t xml:space="preserve"> </w:t>
      </w:r>
      <w:r>
        <w:rPr>
          <w:sz w:val="24"/>
        </w:rPr>
        <w:t>allocation.</w:t>
      </w:r>
    </w:p>
    <w:p w14:paraId="105F3E6E" w14:textId="77777777" w:rsidR="008D3B7E" w:rsidRDefault="008D3B7E" w:rsidP="008D3B7E">
      <w:pPr>
        <w:pStyle w:val="ListParagraph"/>
        <w:numPr>
          <w:ilvl w:val="1"/>
          <w:numId w:val="4"/>
        </w:numPr>
        <w:tabs>
          <w:tab w:val="left" w:pos="1301"/>
        </w:tabs>
        <w:rPr>
          <w:sz w:val="24"/>
        </w:rPr>
      </w:pPr>
      <w:r>
        <w:rPr>
          <w:sz w:val="24"/>
        </w:rPr>
        <w:t>Performs a risk assessment on all new protocols and assigns a risk level</w:t>
      </w:r>
      <w:r>
        <w:rPr>
          <w:spacing w:val="-17"/>
          <w:sz w:val="24"/>
        </w:rPr>
        <w:t xml:space="preserve"> </w:t>
      </w:r>
      <w:r>
        <w:rPr>
          <w:sz w:val="24"/>
        </w:rPr>
        <w:t>accordingly.</w:t>
      </w:r>
    </w:p>
    <w:p w14:paraId="30EAC639" w14:textId="77777777" w:rsidR="008D3B7E" w:rsidRDefault="008D3B7E" w:rsidP="008D3B7E">
      <w:pPr>
        <w:pStyle w:val="ListParagraph"/>
        <w:numPr>
          <w:ilvl w:val="1"/>
          <w:numId w:val="4"/>
        </w:numPr>
        <w:tabs>
          <w:tab w:val="left" w:pos="1301"/>
        </w:tabs>
        <w:ind w:right="239"/>
        <w:rPr>
          <w:sz w:val="24"/>
        </w:rPr>
      </w:pPr>
      <w:r>
        <w:rPr>
          <w:sz w:val="24"/>
        </w:rPr>
        <w:t xml:space="preserve">Assesses adequacy of data and safety monitoring plans for each protocol in relation to the risk assessment and in consideration </w:t>
      </w:r>
      <w:r>
        <w:rPr>
          <w:spacing w:val="-3"/>
          <w:sz w:val="24"/>
        </w:rPr>
        <w:t xml:space="preserve">of </w:t>
      </w:r>
      <w:r>
        <w:rPr>
          <w:sz w:val="24"/>
        </w:rPr>
        <w:t>established data and safety monitoring plans per the trial</w:t>
      </w:r>
      <w:r>
        <w:rPr>
          <w:spacing w:val="-6"/>
          <w:sz w:val="24"/>
        </w:rPr>
        <w:t xml:space="preserve"> </w:t>
      </w:r>
      <w:r>
        <w:rPr>
          <w:sz w:val="24"/>
        </w:rPr>
        <w:t>sponsor.</w:t>
      </w:r>
    </w:p>
    <w:p w14:paraId="39C33E64" w14:textId="77777777" w:rsidR="008D3B7E" w:rsidRDefault="008D3B7E" w:rsidP="008D3B7E">
      <w:pPr>
        <w:pStyle w:val="ListParagraph"/>
        <w:numPr>
          <w:ilvl w:val="1"/>
          <w:numId w:val="4"/>
        </w:numPr>
        <w:tabs>
          <w:tab w:val="left" w:pos="1301"/>
        </w:tabs>
        <w:rPr>
          <w:sz w:val="24"/>
        </w:rPr>
      </w:pPr>
      <w:r>
        <w:rPr>
          <w:sz w:val="24"/>
        </w:rPr>
        <w:t>Identifies potential conflict of interest in any WVU clinical</w:t>
      </w:r>
      <w:r>
        <w:rPr>
          <w:spacing w:val="-14"/>
          <w:sz w:val="24"/>
        </w:rPr>
        <w:t xml:space="preserve"> </w:t>
      </w:r>
      <w:r>
        <w:rPr>
          <w:sz w:val="24"/>
        </w:rPr>
        <w:t>trial.</w:t>
      </w:r>
    </w:p>
    <w:p w14:paraId="123D5953" w14:textId="401EE81B" w:rsidR="008D3B7E" w:rsidRDefault="008D3B7E" w:rsidP="008D3B7E">
      <w:pPr>
        <w:pStyle w:val="ListParagraph"/>
        <w:numPr>
          <w:ilvl w:val="1"/>
          <w:numId w:val="4"/>
        </w:numPr>
        <w:tabs>
          <w:tab w:val="left" w:pos="1301"/>
        </w:tabs>
        <w:rPr>
          <w:sz w:val="24"/>
        </w:rPr>
      </w:pPr>
      <w:r>
        <w:rPr>
          <w:sz w:val="24"/>
        </w:rPr>
        <w:t xml:space="preserve">Affirms </w:t>
      </w:r>
      <w:r w:rsidR="0012562D">
        <w:rPr>
          <w:sz w:val="24"/>
        </w:rPr>
        <w:t xml:space="preserve">the </w:t>
      </w:r>
      <w:r>
        <w:rPr>
          <w:sz w:val="24"/>
        </w:rPr>
        <w:t>relevance of the proposed clinical trial to the mission of WVU.</w:t>
      </w:r>
    </w:p>
    <w:p w14:paraId="56987435" w14:textId="77777777" w:rsidR="008D3B7E" w:rsidRDefault="008D3B7E" w:rsidP="008D3B7E">
      <w:pPr>
        <w:pStyle w:val="ListParagraph"/>
        <w:numPr>
          <w:ilvl w:val="1"/>
          <w:numId w:val="4"/>
        </w:numPr>
        <w:tabs>
          <w:tab w:val="left" w:pos="1301"/>
        </w:tabs>
        <w:spacing w:before="121"/>
        <w:ind w:right="216"/>
        <w:rPr>
          <w:sz w:val="24"/>
        </w:rPr>
      </w:pPr>
      <w:r>
        <w:rPr>
          <w:sz w:val="24"/>
        </w:rPr>
        <w:t>Reviews quality control and safety reports submitted by the DSTC; receives and votes to accept DSTC recommendation(s) for corrective</w:t>
      </w:r>
      <w:r>
        <w:rPr>
          <w:spacing w:val="-1"/>
          <w:sz w:val="24"/>
        </w:rPr>
        <w:t xml:space="preserve"> </w:t>
      </w:r>
      <w:r>
        <w:rPr>
          <w:sz w:val="24"/>
        </w:rPr>
        <w:t>action.</w:t>
      </w:r>
    </w:p>
    <w:p w14:paraId="31AEF1CB" w14:textId="7CBB25DA" w:rsidR="008D3B7E" w:rsidRDefault="008D3B7E" w:rsidP="008D3B7E">
      <w:pPr>
        <w:pStyle w:val="ListParagraph"/>
        <w:numPr>
          <w:ilvl w:val="1"/>
          <w:numId w:val="4"/>
        </w:numPr>
        <w:tabs>
          <w:tab w:val="left" w:pos="1301"/>
        </w:tabs>
        <w:spacing w:before="131" w:line="228" w:lineRule="auto"/>
        <w:ind w:right="360"/>
        <w:rPr>
          <w:sz w:val="24"/>
        </w:rPr>
      </w:pPr>
      <w:r>
        <w:rPr>
          <w:sz w:val="24"/>
        </w:rPr>
        <w:t xml:space="preserve">Reviews adequacy of plans for data storage and security for non-externally reviewed clinical trials that do not require </w:t>
      </w:r>
      <w:r w:rsidR="0012562D">
        <w:rPr>
          <w:sz w:val="24"/>
        </w:rPr>
        <w:t xml:space="preserve">the </w:t>
      </w:r>
      <w:r>
        <w:rPr>
          <w:sz w:val="24"/>
        </w:rPr>
        <w:t xml:space="preserve">use of the </w:t>
      </w:r>
      <w:proofErr w:type="spellStart"/>
      <w:r>
        <w:rPr>
          <w:sz w:val="24"/>
        </w:rPr>
        <w:t>OnCore</w:t>
      </w:r>
      <w:proofErr w:type="spellEnd"/>
      <w:r>
        <w:rPr>
          <w:position w:val="9"/>
          <w:sz w:val="16"/>
        </w:rPr>
        <w:t>®</w:t>
      </w:r>
      <w:r>
        <w:rPr>
          <w:spacing w:val="9"/>
          <w:position w:val="9"/>
          <w:sz w:val="16"/>
        </w:rPr>
        <w:t xml:space="preserve"> </w:t>
      </w:r>
      <w:r>
        <w:rPr>
          <w:sz w:val="24"/>
        </w:rPr>
        <w:t>Database.</w:t>
      </w:r>
    </w:p>
    <w:p w14:paraId="1F7EB8BD" w14:textId="77777777" w:rsidR="008D3B7E" w:rsidRDefault="008D3B7E" w:rsidP="008D3B7E">
      <w:pPr>
        <w:pStyle w:val="ListParagraph"/>
        <w:numPr>
          <w:ilvl w:val="1"/>
          <w:numId w:val="4"/>
        </w:numPr>
        <w:tabs>
          <w:tab w:val="left" w:pos="1301"/>
        </w:tabs>
        <w:spacing w:before="121"/>
        <w:rPr>
          <w:sz w:val="24"/>
        </w:rPr>
      </w:pPr>
      <w:r>
        <w:rPr>
          <w:sz w:val="24"/>
        </w:rPr>
        <w:t>Reviews all ongoing clinical trials for scientific</w:t>
      </w:r>
      <w:r>
        <w:rPr>
          <w:spacing w:val="-11"/>
          <w:sz w:val="24"/>
        </w:rPr>
        <w:t xml:space="preserve"> </w:t>
      </w:r>
      <w:r>
        <w:rPr>
          <w:sz w:val="24"/>
        </w:rPr>
        <w:t>progress.</w:t>
      </w:r>
    </w:p>
    <w:p w14:paraId="5B81E2C8" w14:textId="77777777" w:rsidR="008D3B7E" w:rsidRDefault="008D3B7E" w:rsidP="008D3B7E">
      <w:pPr>
        <w:pStyle w:val="ListParagraph"/>
        <w:numPr>
          <w:ilvl w:val="1"/>
          <w:numId w:val="4"/>
        </w:numPr>
        <w:tabs>
          <w:tab w:val="left" w:pos="1301"/>
        </w:tabs>
        <w:ind w:right="299"/>
        <w:rPr>
          <w:sz w:val="24"/>
        </w:rPr>
      </w:pPr>
      <w:r>
        <w:rPr>
          <w:sz w:val="24"/>
        </w:rPr>
        <w:t>Oversees closure of trials for insufficient progress, prioritization changes, and quality and/or safety</w:t>
      </w:r>
      <w:r>
        <w:rPr>
          <w:spacing w:val="-9"/>
          <w:sz w:val="24"/>
        </w:rPr>
        <w:t xml:space="preserve"> </w:t>
      </w:r>
      <w:r>
        <w:rPr>
          <w:sz w:val="24"/>
        </w:rPr>
        <w:t>issues.</w:t>
      </w:r>
    </w:p>
    <w:p w14:paraId="20E5EE5F" w14:textId="77777777" w:rsidR="008D3B7E" w:rsidRDefault="008D3B7E" w:rsidP="008D3B7E">
      <w:pPr>
        <w:pStyle w:val="BodyText"/>
        <w:rPr>
          <w:sz w:val="26"/>
        </w:rPr>
      </w:pPr>
    </w:p>
    <w:p w14:paraId="2FF67294" w14:textId="77777777" w:rsidR="008D3B7E" w:rsidRDefault="008D3B7E" w:rsidP="008D3B7E">
      <w:pPr>
        <w:pStyle w:val="BodyText"/>
        <w:spacing w:before="5"/>
        <w:rPr>
          <w:sz w:val="32"/>
        </w:rPr>
      </w:pPr>
    </w:p>
    <w:p w14:paraId="1C9656DC" w14:textId="1560DD78" w:rsidR="008D3B7E" w:rsidRDefault="008D3B7E" w:rsidP="008D3B7E">
      <w:pPr>
        <w:pStyle w:val="BodyText"/>
        <w:spacing w:before="1"/>
        <w:ind w:left="220" w:right="435"/>
      </w:pPr>
      <w:r>
        <w:t xml:space="preserve">Members are appointed by the CTWG. Membership duration is flexible to maintain </w:t>
      </w:r>
      <w:r w:rsidR="00816CAA">
        <w:t xml:space="preserve">the </w:t>
      </w:r>
      <w:r>
        <w:t xml:space="preserve">required depth and breadth of expertise related to the spectrum of </w:t>
      </w:r>
      <w:r w:rsidR="00816CAA">
        <w:t xml:space="preserve">the </w:t>
      </w:r>
      <w:r>
        <w:t xml:space="preserve">clinical research conducted at WVU. This committee meets twice a month. Present PRMC membership is listed on the CTRU website </w:t>
      </w:r>
      <w:hyperlink r:id="rId13">
        <w:r>
          <w:rPr>
            <w:color w:val="800080"/>
            <w:u w:val="single" w:color="800080"/>
          </w:rPr>
          <w:t>PRMC Members Roster</w:t>
        </w:r>
      </w:hyperlink>
      <w:r>
        <w:t>.</w:t>
      </w:r>
    </w:p>
    <w:p w14:paraId="4E8EE726" w14:textId="77777777" w:rsidR="008D3B7E" w:rsidRDefault="008D3B7E" w:rsidP="008D3B7E">
      <w:pPr>
        <w:pStyle w:val="BodyText"/>
        <w:rPr>
          <w:sz w:val="20"/>
        </w:rPr>
      </w:pPr>
    </w:p>
    <w:p w14:paraId="5B46839B" w14:textId="77777777" w:rsidR="008D3B7E" w:rsidRDefault="008D3B7E" w:rsidP="008D3B7E">
      <w:pPr>
        <w:pStyle w:val="BodyText"/>
        <w:spacing w:before="1"/>
        <w:rPr>
          <w:sz w:val="22"/>
        </w:rPr>
      </w:pPr>
    </w:p>
    <w:p w14:paraId="3B33B33E" w14:textId="77777777" w:rsidR="008D3B7E" w:rsidRDefault="008D3B7E" w:rsidP="008D3B7E">
      <w:pPr>
        <w:pStyle w:val="Heading2"/>
        <w:numPr>
          <w:ilvl w:val="0"/>
          <w:numId w:val="4"/>
        </w:numPr>
        <w:tabs>
          <w:tab w:val="left" w:pos="940"/>
          <w:tab w:val="left" w:pos="941"/>
        </w:tabs>
        <w:ind w:hanging="721"/>
      </w:pPr>
      <w:bookmarkStart w:id="4" w:name="_bookmark3"/>
      <w:bookmarkEnd w:id="4"/>
      <w:r>
        <w:t>Data Safety and Toxicity Committee</w:t>
      </w:r>
      <w:r>
        <w:rPr>
          <w:spacing w:val="3"/>
        </w:rPr>
        <w:t xml:space="preserve"> </w:t>
      </w:r>
      <w:r>
        <w:t>(DSTC)</w:t>
      </w:r>
    </w:p>
    <w:p w14:paraId="49701482" w14:textId="77777777" w:rsidR="008D3B7E" w:rsidRDefault="008D3B7E" w:rsidP="008D3B7E">
      <w:pPr>
        <w:pStyle w:val="BodyText"/>
        <w:rPr>
          <w:b/>
        </w:rPr>
      </w:pPr>
    </w:p>
    <w:p w14:paraId="6BCFA7E6" w14:textId="77777777" w:rsidR="008D3B7E" w:rsidRDefault="008D3B7E" w:rsidP="008D3B7E">
      <w:pPr>
        <w:pStyle w:val="BodyText"/>
        <w:spacing w:line="276" w:lineRule="auto"/>
        <w:ind w:left="220" w:right="435"/>
      </w:pPr>
      <w:r>
        <w:t>The CTWG delegates responsibility for continued review and monitoring of all clinical trials conducted by WVU to the DSTC. This committee provides oversight of study progress and safety by review of accrual and adverse events at monthly meetings. The Committee:</w:t>
      </w:r>
    </w:p>
    <w:p w14:paraId="1869193E" w14:textId="77777777" w:rsidR="008D3B7E" w:rsidRDefault="008D3B7E" w:rsidP="008D3B7E">
      <w:pPr>
        <w:pStyle w:val="ListParagraph"/>
        <w:numPr>
          <w:ilvl w:val="1"/>
          <w:numId w:val="4"/>
        </w:numPr>
        <w:tabs>
          <w:tab w:val="left" w:pos="1301"/>
        </w:tabs>
        <w:spacing w:before="197"/>
        <w:ind w:right="634"/>
        <w:rPr>
          <w:sz w:val="24"/>
        </w:rPr>
      </w:pPr>
      <w:r>
        <w:rPr>
          <w:sz w:val="24"/>
        </w:rPr>
        <w:t>Reviews all non-externally reviewed clinical trials and other trials, as</w:t>
      </w:r>
      <w:r>
        <w:rPr>
          <w:spacing w:val="-32"/>
          <w:sz w:val="24"/>
        </w:rPr>
        <w:t xml:space="preserve"> </w:t>
      </w:r>
      <w:r>
        <w:rPr>
          <w:sz w:val="24"/>
        </w:rPr>
        <w:t>appropriate, conducted at WVU for progress and</w:t>
      </w:r>
      <w:r>
        <w:rPr>
          <w:spacing w:val="-9"/>
          <w:sz w:val="24"/>
        </w:rPr>
        <w:t xml:space="preserve"> </w:t>
      </w:r>
      <w:r>
        <w:rPr>
          <w:sz w:val="24"/>
        </w:rPr>
        <w:t>safety.</w:t>
      </w:r>
    </w:p>
    <w:p w14:paraId="12FA2E93" w14:textId="77777777" w:rsidR="008D3B7E" w:rsidRDefault="008D3B7E" w:rsidP="008D3B7E">
      <w:pPr>
        <w:rPr>
          <w:sz w:val="24"/>
        </w:rPr>
        <w:sectPr w:rsidR="008D3B7E">
          <w:pgSz w:w="12240" w:h="15840"/>
          <w:pgMar w:top="1360" w:right="1220" w:bottom="960" w:left="1220" w:header="720" w:footer="765" w:gutter="0"/>
          <w:cols w:space="720"/>
        </w:sectPr>
      </w:pPr>
    </w:p>
    <w:p w14:paraId="22D98915" w14:textId="201753A1" w:rsidR="008D3B7E" w:rsidRDefault="008D3B7E" w:rsidP="008D3B7E">
      <w:pPr>
        <w:pStyle w:val="ListParagraph"/>
        <w:numPr>
          <w:ilvl w:val="1"/>
          <w:numId w:val="4"/>
        </w:numPr>
        <w:tabs>
          <w:tab w:val="left" w:pos="1301"/>
        </w:tabs>
        <w:spacing w:before="56"/>
        <w:ind w:right="415"/>
        <w:rPr>
          <w:sz w:val="24"/>
        </w:rPr>
      </w:pPr>
      <w:r>
        <w:rPr>
          <w:sz w:val="24"/>
        </w:rPr>
        <w:lastRenderedPageBreak/>
        <w:t xml:space="preserve">Reviews all adverse events requiring </w:t>
      </w:r>
      <w:r>
        <w:rPr>
          <w:b/>
          <w:sz w:val="24"/>
        </w:rPr>
        <w:t xml:space="preserve">expedited </w:t>
      </w:r>
      <w:r>
        <w:rPr>
          <w:sz w:val="24"/>
        </w:rPr>
        <w:t>reporting</w:t>
      </w:r>
      <w:r w:rsidR="00816CAA">
        <w:rPr>
          <w:sz w:val="24"/>
        </w:rPr>
        <w:t>,</w:t>
      </w:r>
      <w:r>
        <w:rPr>
          <w:sz w:val="24"/>
        </w:rPr>
        <w:t xml:space="preserve"> as defined in the protocol. </w:t>
      </w:r>
      <w:r w:rsidR="00816CAA">
        <w:rPr>
          <w:sz w:val="24"/>
        </w:rPr>
        <w:t>Also</w:t>
      </w:r>
      <w:r>
        <w:rPr>
          <w:sz w:val="24"/>
        </w:rPr>
        <w:t>, the DSTC will review any adverse events that are considered excessive, any unexpected trending and/or any other issue deemed significant by a member of the research team.</w:t>
      </w:r>
    </w:p>
    <w:p w14:paraId="0E6CAFA4" w14:textId="0C314B3E" w:rsidR="008D3B7E" w:rsidRDefault="008D3B7E" w:rsidP="008D3B7E">
      <w:pPr>
        <w:pStyle w:val="ListParagraph"/>
        <w:numPr>
          <w:ilvl w:val="1"/>
          <w:numId w:val="4"/>
        </w:numPr>
        <w:tabs>
          <w:tab w:val="left" w:pos="1301"/>
        </w:tabs>
        <w:ind w:right="923"/>
        <w:jc w:val="both"/>
        <w:rPr>
          <w:sz w:val="24"/>
        </w:rPr>
      </w:pPr>
      <w:r>
        <w:rPr>
          <w:sz w:val="24"/>
        </w:rPr>
        <w:t xml:space="preserve">Reviews reports generated by </w:t>
      </w:r>
      <w:r w:rsidR="009963B9">
        <w:rPr>
          <w:sz w:val="24"/>
        </w:rPr>
        <w:t xml:space="preserve">the </w:t>
      </w:r>
      <w:r>
        <w:rPr>
          <w:sz w:val="24"/>
        </w:rPr>
        <w:t>WVU data quality control review process (Quality Assurance audits and response review) described in Section IV of</w:t>
      </w:r>
      <w:r>
        <w:rPr>
          <w:spacing w:val="-27"/>
          <w:sz w:val="24"/>
        </w:rPr>
        <w:t xml:space="preserve"> </w:t>
      </w:r>
      <w:r>
        <w:rPr>
          <w:sz w:val="24"/>
        </w:rPr>
        <w:t>this document.</w:t>
      </w:r>
    </w:p>
    <w:p w14:paraId="7A9AE537" w14:textId="77777777" w:rsidR="008D3B7E" w:rsidRDefault="008D3B7E" w:rsidP="008D3B7E">
      <w:pPr>
        <w:pStyle w:val="ListParagraph"/>
        <w:numPr>
          <w:ilvl w:val="1"/>
          <w:numId w:val="4"/>
        </w:numPr>
        <w:tabs>
          <w:tab w:val="left" w:pos="1301"/>
        </w:tabs>
        <w:spacing w:before="121"/>
        <w:ind w:right="238"/>
        <w:rPr>
          <w:sz w:val="24"/>
        </w:rPr>
      </w:pPr>
      <w:r>
        <w:rPr>
          <w:sz w:val="24"/>
        </w:rPr>
        <w:t>Submits recommendations for corrective actions to the PRMC. The PRMC will</w:t>
      </w:r>
      <w:r>
        <w:rPr>
          <w:spacing w:val="-33"/>
          <w:sz w:val="24"/>
        </w:rPr>
        <w:t xml:space="preserve"> </w:t>
      </w:r>
      <w:r>
        <w:rPr>
          <w:sz w:val="24"/>
        </w:rPr>
        <w:t>notify the Principal Investigator of the recommended action(s).</w:t>
      </w:r>
    </w:p>
    <w:p w14:paraId="2358697E" w14:textId="77777777" w:rsidR="008D3B7E" w:rsidRDefault="008D3B7E" w:rsidP="008D3B7E">
      <w:pPr>
        <w:pStyle w:val="ListParagraph"/>
        <w:numPr>
          <w:ilvl w:val="1"/>
          <w:numId w:val="4"/>
        </w:numPr>
        <w:tabs>
          <w:tab w:val="left" w:pos="1301"/>
        </w:tabs>
        <w:ind w:right="571"/>
        <w:rPr>
          <w:sz w:val="24"/>
        </w:rPr>
      </w:pPr>
      <w:r>
        <w:rPr>
          <w:sz w:val="24"/>
        </w:rPr>
        <w:t>Reviews major protocol violations and Unanticipated Problems Involving Risks to Participants or Others (UPIRTPOs), as defined by WVU IRB</w:t>
      </w:r>
      <w:r>
        <w:rPr>
          <w:spacing w:val="-16"/>
          <w:sz w:val="24"/>
        </w:rPr>
        <w:t xml:space="preserve"> </w:t>
      </w:r>
      <w:r>
        <w:rPr>
          <w:sz w:val="24"/>
        </w:rPr>
        <w:t>policy.</w:t>
      </w:r>
    </w:p>
    <w:p w14:paraId="11D3B9A7" w14:textId="77777777" w:rsidR="008D3B7E" w:rsidRDefault="008D3B7E" w:rsidP="008D3B7E">
      <w:pPr>
        <w:pStyle w:val="ListParagraph"/>
        <w:numPr>
          <w:ilvl w:val="1"/>
          <w:numId w:val="4"/>
        </w:numPr>
        <w:tabs>
          <w:tab w:val="left" w:pos="1301"/>
        </w:tabs>
        <w:ind w:right="392"/>
        <w:rPr>
          <w:sz w:val="24"/>
        </w:rPr>
      </w:pPr>
      <w:r>
        <w:rPr>
          <w:sz w:val="24"/>
        </w:rPr>
        <w:t>Confirms notifications to external sites participating in multiple-institutional</w:t>
      </w:r>
      <w:r>
        <w:rPr>
          <w:spacing w:val="-37"/>
          <w:sz w:val="24"/>
        </w:rPr>
        <w:t xml:space="preserve"> </w:t>
      </w:r>
      <w:r>
        <w:rPr>
          <w:sz w:val="24"/>
        </w:rPr>
        <w:t>clinical trials coordinated by WVU of expedited adverse events and/or committee recommendations.</w:t>
      </w:r>
    </w:p>
    <w:p w14:paraId="0285FBF6" w14:textId="77777777" w:rsidR="008D3B7E" w:rsidRDefault="008D3B7E" w:rsidP="008D3B7E">
      <w:pPr>
        <w:pStyle w:val="ListParagraph"/>
        <w:numPr>
          <w:ilvl w:val="1"/>
          <w:numId w:val="4"/>
        </w:numPr>
        <w:tabs>
          <w:tab w:val="left" w:pos="1301"/>
        </w:tabs>
        <w:spacing w:before="121"/>
        <w:rPr>
          <w:sz w:val="24"/>
        </w:rPr>
      </w:pPr>
      <w:r>
        <w:rPr>
          <w:sz w:val="24"/>
        </w:rPr>
        <w:t>Reviews all NCI generated action</w:t>
      </w:r>
      <w:r>
        <w:rPr>
          <w:spacing w:val="-9"/>
          <w:sz w:val="24"/>
        </w:rPr>
        <w:t xml:space="preserve"> </w:t>
      </w:r>
      <w:r>
        <w:rPr>
          <w:sz w:val="24"/>
        </w:rPr>
        <w:t>letters.</w:t>
      </w:r>
    </w:p>
    <w:p w14:paraId="691FB9FF" w14:textId="77777777" w:rsidR="008D3B7E" w:rsidRDefault="008D3B7E" w:rsidP="008D3B7E">
      <w:pPr>
        <w:pStyle w:val="BodyText"/>
        <w:spacing w:before="11"/>
        <w:rPr>
          <w:sz w:val="23"/>
        </w:rPr>
      </w:pPr>
    </w:p>
    <w:p w14:paraId="012F5D3C" w14:textId="4542EA4C" w:rsidR="008D3B7E" w:rsidRDefault="008D3B7E" w:rsidP="008D3B7E">
      <w:pPr>
        <w:pStyle w:val="BodyText"/>
        <w:ind w:left="220" w:right="515"/>
      </w:pPr>
      <w:r>
        <w:t xml:space="preserve">Members are appointed by the CTWG. Membership duration is flexible to maintain </w:t>
      </w:r>
      <w:r w:rsidR="009963B9">
        <w:t xml:space="preserve">the </w:t>
      </w:r>
      <w:r>
        <w:t xml:space="preserve">required depth and breadth of expertise related to the spectrum of </w:t>
      </w:r>
      <w:r w:rsidR="009963B9">
        <w:t xml:space="preserve">the </w:t>
      </w:r>
      <w:r>
        <w:t xml:space="preserve">clinical research conducted at the WVU. The DSTC meets once a month or interim meetings are scheduled to address specific issues that require immediate attention to </w:t>
      </w:r>
      <w:r w:rsidR="17D2A1DA">
        <w:t>ensure</w:t>
      </w:r>
      <w:r>
        <w:t xml:space="preserve"> patient safety. </w:t>
      </w:r>
      <w:r w:rsidR="009963B9">
        <w:t xml:space="preserve">The current </w:t>
      </w:r>
      <w:r>
        <w:t xml:space="preserve">membership is listed on the CTRU website </w:t>
      </w:r>
      <w:hyperlink r:id="rId14">
        <w:r w:rsidRPr="61B70201">
          <w:rPr>
            <w:color w:val="800080"/>
            <w:u w:val="single"/>
          </w:rPr>
          <w:t>DSTC Members Roster</w:t>
        </w:r>
      </w:hyperlink>
      <w:r>
        <w:t>.</w:t>
      </w:r>
    </w:p>
    <w:p w14:paraId="11187901" w14:textId="77777777" w:rsidR="008D3B7E" w:rsidRDefault="008D3B7E" w:rsidP="008D3B7E">
      <w:pPr>
        <w:pStyle w:val="BodyText"/>
        <w:rPr>
          <w:sz w:val="20"/>
        </w:rPr>
      </w:pPr>
    </w:p>
    <w:p w14:paraId="72E6C34C" w14:textId="77777777" w:rsidR="008D3B7E" w:rsidRDefault="008D3B7E" w:rsidP="008D3B7E">
      <w:pPr>
        <w:pStyle w:val="BodyText"/>
        <w:rPr>
          <w:sz w:val="20"/>
        </w:rPr>
      </w:pPr>
    </w:p>
    <w:p w14:paraId="19DF3F33" w14:textId="77777777" w:rsidR="008D3B7E" w:rsidRDefault="008D3B7E" w:rsidP="008D3B7E">
      <w:pPr>
        <w:pStyle w:val="BodyText"/>
        <w:spacing w:before="7"/>
      </w:pPr>
    </w:p>
    <w:p w14:paraId="248837B5" w14:textId="77777777" w:rsidR="008D3B7E" w:rsidRDefault="008D3B7E" w:rsidP="008D3B7E">
      <w:pPr>
        <w:spacing w:before="90"/>
        <w:ind w:left="220"/>
        <w:rPr>
          <w:b/>
          <w:sz w:val="24"/>
        </w:rPr>
      </w:pPr>
      <w:r>
        <w:rPr>
          <w:b/>
          <w:sz w:val="24"/>
        </w:rPr>
        <w:t>DSTC Reviews and Quality Control Issues</w:t>
      </w:r>
    </w:p>
    <w:p w14:paraId="18CDECBA" w14:textId="77777777" w:rsidR="008D3B7E" w:rsidRDefault="008D3B7E" w:rsidP="008D3B7E">
      <w:pPr>
        <w:pStyle w:val="BodyText"/>
        <w:spacing w:before="7"/>
        <w:rPr>
          <w:b/>
          <w:sz w:val="23"/>
        </w:rPr>
      </w:pPr>
    </w:p>
    <w:p w14:paraId="2EFF6A79" w14:textId="332335B5" w:rsidR="008D3B7E" w:rsidRDefault="008D3B7E" w:rsidP="008D3B7E">
      <w:pPr>
        <w:pStyle w:val="BodyText"/>
        <w:ind w:left="220" w:right="522"/>
      </w:pPr>
      <w:r>
        <w:t>All quality control audits and reviews are reported to the DSTC. Quality Control reviews are coordinated by the Quality Assurance (QA) Specialist of the Clinical Trials Research Unit (CTRU). Typically reports are received by the DSTC for Quality Assurance Audits, Response Reviews, Protocol Summary Reports</w:t>
      </w:r>
      <w:r w:rsidR="009963B9">
        <w:t>,</w:t>
      </w:r>
      <w:r>
        <w:t xml:space="preserve"> and all other types of routine data monitoring reports.</w:t>
      </w:r>
    </w:p>
    <w:p w14:paraId="17A461B3" w14:textId="77777777" w:rsidR="008D3B7E" w:rsidRDefault="008D3B7E" w:rsidP="008D3B7E">
      <w:pPr>
        <w:pStyle w:val="BodyText"/>
        <w:spacing w:before="1"/>
        <w:ind w:left="220" w:right="262"/>
      </w:pPr>
      <w:r>
        <w:t>Subject confidentiality is upheld in all quality assurance reporting. These quality control reviews are described in the sections that follow. The DSTC reviews the quality control reports, ascertains if further information is required from the investigator and makes a recommendation for follow-up action if it is warranted. These decisions and recommendations are referred to the PRMC. The DSTC ensures that the PI reports any temporary or permanent suspension of a clinical trial to the sponsor (e.g., National Cancer Institute Program Director, Industry Sponsor Medical Monitor, NCTN Study Chair, etc.) and other appropriate agencies.</w:t>
      </w:r>
    </w:p>
    <w:p w14:paraId="1844DD48" w14:textId="77777777" w:rsidR="008D3B7E" w:rsidRDefault="008D3B7E" w:rsidP="008D3B7E">
      <w:pPr>
        <w:pStyle w:val="BodyText"/>
        <w:rPr>
          <w:sz w:val="26"/>
        </w:rPr>
      </w:pPr>
    </w:p>
    <w:p w14:paraId="24E9D10D" w14:textId="77777777" w:rsidR="008D3B7E" w:rsidRDefault="008D3B7E" w:rsidP="008D3B7E">
      <w:pPr>
        <w:pStyle w:val="BodyText"/>
        <w:spacing w:before="11"/>
        <w:rPr>
          <w:sz w:val="29"/>
        </w:rPr>
      </w:pPr>
    </w:p>
    <w:p w14:paraId="3905948C" w14:textId="1CC7E0F1" w:rsidR="008D3B7E" w:rsidRPr="008D3B7E" w:rsidRDefault="008D3B7E" w:rsidP="003333BB">
      <w:pPr>
        <w:pStyle w:val="IRBHeadingA"/>
      </w:pPr>
      <w:bookmarkStart w:id="5" w:name="_bookmark4"/>
      <w:bookmarkEnd w:id="5"/>
      <w:r w:rsidRPr="008D3B7E">
        <w:t>Guidelines for Protocol Data and Safety Monitoring</w:t>
      </w:r>
      <w:r w:rsidRPr="008D3B7E">
        <w:rPr>
          <w:spacing w:val="-6"/>
        </w:rPr>
        <w:t xml:space="preserve"> </w:t>
      </w:r>
      <w:r w:rsidRPr="008D3B7E">
        <w:t>Implementation</w:t>
      </w:r>
    </w:p>
    <w:p w14:paraId="26209AE0" w14:textId="77777777" w:rsidR="008D3B7E" w:rsidRDefault="008D3B7E" w:rsidP="008D3B7E">
      <w:pPr>
        <w:pStyle w:val="BodyText"/>
        <w:rPr>
          <w:b/>
          <w:sz w:val="30"/>
        </w:rPr>
      </w:pPr>
    </w:p>
    <w:p w14:paraId="2B4A24FA" w14:textId="5D12614A" w:rsidR="008D3B7E" w:rsidRDefault="008D3B7E" w:rsidP="00C97F9D">
      <w:pPr>
        <w:pStyle w:val="BodyText"/>
        <w:spacing w:before="175"/>
        <w:ind w:left="220"/>
      </w:pPr>
      <w:r>
        <w:t>All clinical trials conducted at the WVU must have a satisfactory data and safety monitoring plan (DSMP) that is described in detail in the protocol. The PRMC review ensures</w:t>
      </w:r>
      <w:r w:rsidR="00C97F9D">
        <w:t xml:space="preserve"> </w:t>
      </w:r>
      <w:r>
        <w:t xml:space="preserve">that the degree and frequency of data and safety monitoring for individual studies will be commensurate with size, </w:t>
      </w:r>
      <w:r>
        <w:lastRenderedPageBreak/>
        <w:t>complexity and risks of the trial.</w:t>
      </w:r>
    </w:p>
    <w:p w14:paraId="56796389" w14:textId="77777777" w:rsidR="008D3B7E" w:rsidRDefault="008D3B7E" w:rsidP="008D3B7E">
      <w:pPr>
        <w:pStyle w:val="BodyText"/>
      </w:pPr>
    </w:p>
    <w:p w14:paraId="09EC5B03" w14:textId="252B2CE6" w:rsidR="008D3B7E" w:rsidRDefault="008D3B7E" w:rsidP="008D3B7E">
      <w:pPr>
        <w:pStyle w:val="BodyText"/>
        <w:ind w:left="220" w:right="415"/>
      </w:pPr>
      <w:r>
        <w:t>Non-externally reviewed studies are those studies led by WVU investigators for which there is one review body (i.e.</w:t>
      </w:r>
      <w:r w:rsidR="00C97F9D">
        <w:t>,</w:t>
      </w:r>
      <w:r>
        <w:t xml:space="preserve"> classic investigator-initiated studies).</w:t>
      </w:r>
    </w:p>
    <w:p w14:paraId="4B6C2634" w14:textId="77777777" w:rsidR="008D3B7E" w:rsidRDefault="008D3B7E" w:rsidP="008D3B7E">
      <w:pPr>
        <w:pStyle w:val="BodyText"/>
        <w:spacing w:before="1"/>
      </w:pPr>
    </w:p>
    <w:p w14:paraId="0F0287DD" w14:textId="5C2A666B" w:rsidR="008D3B7E" w:rsidRDefault="008D3B7E" w:rsidP="008D3B7E">
      <w:pPr>
        <w:pStyle w:val="BodyText"/>
        <w:ind w:left="220" w:right="215"/>
      </w:pPr>
      <w:r>
        <w:t>External-reviewed studies include all other studies that have an external agency that monitors the safety of a given trial (e.g.</w:t>
      </w:r>
      <w:r w:rsidR="00C97F9D">
        <w:t>,</w:t>
      </w:r>
      <w:r>
        <w:t xml:space="preserve"> Cancer Therapy Evaluation Program, NCTN, and/or pharmaceutical- sponsored trials). In these instances, a </w:t>
      </w:r>
      <w:proofErr w:type="gramStart"/>
      <w:r>
        <w:t>protocol-specific</w:t>
      </w:r>
      <w:proofErr w:type="gramEnd"/>
      <w:r>
        <w:t xml:space="preserve"> DSMP procedure is outlined in the protocol. However, patients enrolled at WVU on these trials may experience serious or unexpected SAEs and these must be reported to and reviewed by the DSTC and IRB, if applicable. This is to </w:t>
      </w:r>
      <w:r w:rsidR="00C97F9D">
        <w:t xml:space="preserve">ensure </w:t>
      </w:r>
      <w:r>
        <w:t xml:space="preserve">the safety of WVU patients enrolled </w:t>
      </w:r>
      <w:r w:rsidR="00C97F9D">
        <w:t>i</w:t>
      </w:r>
      <w:r>
        <w:t>n the studies.</w:t>
      </w:r>
    </w:p>
    <w:p w14:paraId="6F22DD22" w14:textId="77777777" w:rsidR="008D3B7E" w:rsidRDefault="008D3B7E" w:rsidP="008D3B7E">
      <w:pPr>
        <w:pStyle w:val="BodyText"/>
        <w:rPr>
          <w:sz w:val="26"/>
        </w:rPr>
      </w:pPr>
    </w:p>
    <w:p w14:paraId="278A55DE" w14:textId="77777777" w:rsidR="008D3B7E" w:rsidRDefault="008D3B7E" w:rsidP="008D3B7E">
      <w:pPr>
        <w:pStyle w:val="Heading2"/>
        <w:numPr>
          <w:ilvl w:val="0"/>
          <w:numId w:val="3"/>
        </w:numPr>
        <w:tabs>
          <w:tab w:val="left" w:pos="940"/>
          <w:tab w:val="left" w:pos="941"/>
        </w:tabs>
        <w:spacing w:before="185"/>
        <w:ind w:hanging="721"/>
      </w:pPr>
      <w:bookmarkStart w:id="6" w:name="_bookmark5"/>
      <w:bookmarkEnd w:id="6"/>
      <w:r>
        <w:t xml:space="preserve">Required Elements </w:t>
      </w:r>
      <w:r>
        <w:rPr>
          <w:spacing w:val="-3"/>
        </w:rPr>
        <w:t xml:space="preserve">of </w:t>
      </w:r>
      <w:r>
        <w:t>a Protocol Data and Safety Monitoring</w:t>
      </w:r>
      <w:r>
        <w:rPr>
          <w:spacing w:val="-3"/>
        </w:rPr>
        <w:t xml:space="preserve"> </w:t>
      </w:r>
      <w:r>
        <w:t>Plan</w:t>
      </w:r>
    </w:p>
    <w:p w14:paraId="010CEA83" w14:textId="77777777" w:rsidR="008D3B7E" w:rsidRDefault="008D3B7E" w:rsidP="008D3B7E">
      <w:pPr>
        <w:pStyle w:val="BodyText"/>
        <w:spacing w:before="8"/>
        <w:rPr>
          <w:b/>
          <w:sz w:val="23"/>
        </w:rPr>
      </w:pPr>
    </w:p>
    <w:p w14:paraId="678D544B" w14:textId="61A80158" w:rsidR="008D3B7E" w:rsidRDefault="008D3B7E" w:rsidP="008D3B7E">
      <w:pPr>
        <w:pStyle w:val="ListParagraph"/>
        <w:numPr>
          <w:ilvl w:val="1"/>
          <w:numId w:val="3"/>
        </w:numPr>
        <w:tabs>
          <w:tab w:val="left" w:pos="1301"/>
        </w:tabs>
        <w:spacing w:before="0"/>
        <w:rPr>
          <w:i/>
          <w:sz w:val="24"/>
        </w:rPr>
      </w:pPr>
      <w:r>
        <w:rPr>
          <w:sz w:val="24"/>
        </w:rPr>
        <w:t xml:space="preserve">Delineation of oversight responsibilities </w:t>
      </w:r>
      <w:r>
        <w:rPr>
          <w:i/>
          <w:sz w:val="24"/>
        </w:rPr>
        <w:t>(e.g.</w:t>
      </w:r>
      <w:r w:rsidR="00C97F9D">
        <w:rPr>
          <w:i/>
          <w:sz w:val="24"/>
        </w:rPr>
        <w:t>,</w:t>
      </w:r>
      <w:r>
        <w:rPr>
          <w:i/>
          <w:sz w:val="24"/>
        </w:rPr>
        <w:t xml:space="preserve"> external DSMB or WVU</w:t>
      </w:r>
      <w:r>
        <w:rPr>
          <w:i/>
          <w:spacing w:val="-7"/>
          <w:sz w:val="24"/>
        </w:rPr>
        <w:t xml:space="preserve"> </w:t>
      </w:r>
      <w:r>
        <w:rPr>
          <w:i/>
          <w:sz w:val="24"/>
        </w:rPr>
        <w:t>DSTC)</w:t>
      </w:r>
    </w:p>
    <w:p w14:paraId="33E79DA3" w14:textId="77777777" w:rsidR="008D3B7E" w:rsidRDefault="008D3B7E" w:rsidP="008D3B7E">
      <w:pPr>
        <w:pStyle w:val="ListParagraph"/>
        <w:numPr>
          <w:ilvl w:val="1"/>
          <w:numId w:val="3"/>
        </w:numPr>
        <w:tabs>
          <w:tab w:val="left" w:pos="1301"/>
        </w:tabs>
        <w:rPr>
          <w:sz w:val="24"/>
        </w:rPr>
      </w:pPr>
      <w:r>
        <w:rPr>
          <w:sz w:val="24"/>
        </w:rPr>
        <w:t>Description of data and safety review</w:t>
      </w:r>
      <w:r>
        <w:rPr>
          <w:spacing w:val="-14"/>
          <w:sz w:val="24"/>
        </w:rPr>
        <w:t xml:space="preserve"> </w:t>
      </w:r>
      <w:r>
        <w:rPr>
          <w:sz w:val="24"/>
        </w:rPr>
        <w:t>process</w:t>
      </w:r>
    </w:p>
    <w:p w14:paraId="579733BB" w14:textId="1CB40F40" w:rsidR="008D3B7E" w:rsidRDefault="001E4B19" w:rsidP="008D3B7E">
      <w:pPr>
        <w:pStyle w:val="ListParagraph"/>
        <w:numPr>
          <w:ilvl w:val="1"/>
          <w:numId w:val="3"/>
        </w:numPr>
        <w:tabs>
          <w:tab w:val="left" w:pos="1301"/>
        </w:tabs>
        <w:ind w:right="614"/>
        <w:rPr>
          <w:sz w:val="24"/>
        </w:rPr>
      </w:pPr>
      <w:r>
        <w:rPr>
          <w:sz w:val="24"/>
        </w:rPr>
        <w:t>Timetable</w:t>
      </w:r>
      <w:r w:rsidR="008D3B7E">
        <w:rPr>
          <w:sz w:val="24"/>
        </w:rPr>
        <w:t xml:space="preserve"> for submission of data, safety, and progress information to the</w:t>
      </w:r>
      <w:r w:rsidR="008D3B7E">
        <w:rPr>
          <w:spacing w:val="-33"/>
          <w:sz w:val="24"/>
        </w:rPr>
        <w:t xml:space="preserve"> </w:t>
      </w:r>
      <w:r w:rsidR="008D3B7E">
        <w:rPr>
          <w:sz w:val="24"/>
        </w:rPr>
        <w:t>external DSMB or DSTC, the IRB, and the</w:t>
      </w:r>
      <w:r w:rsidR="008D3B7E">
        <w:rPr>
          <w:spacing w:val="-5"/>
          <w:sz w:val="24"/>
        </w:rPr>
        <w:t xml:space="preserve"> </w:t>
      </w:r>
      <w:r w:rsidR="008D3B7E">
        <w:rPr>
          <w:sz w:val="24"/>
        </w:rPr>
        <w:t>sponsor.</w:t>
      </w:r>
    </w:p>
    <w:p w14:paraId="5EA86BA4" w14:textId="783E5982" w:rsidR="008D3B7E" w:rsidRDefault="008C49E0" w:rsidP="008D3B7E">
      <w:pPr>
        <w:pStyle w:val="ListParagraph"/>
        <w:numPr>
          <w:ilvl w:val="1"/>
          <w:numId w:val="3"/>
        </w:numPr>
        <w:tabs>
          <w:tab w:val="left" w:pos="1301"/>
        </w:tabs>
        <w:spacing w:before="121"/>
        <w:ind w:right="897"/>
        <w:rPr>
          <w:sz w:val="24"/>
        </w:rPr>
      </w:pPr>
      <w:r>
        <w:rPr>
          <w:sz w:val="24"/>
        </w:rPr>
        <w:t>The p</w:t>
      </w:r>
      <w:r w:rsidR="008D3B7E">
        <w:rPr>
          <w:sz w:val="24"/>
        </w:rPr>
        <w:t xml:space="preserve">rocess </w:t>
      </w:r>
      <w:r>
        <w:rPr>
          <w:sz w:val="24"/>
        </w:rPr>
        <w:t>of implementing</w:t>
      </w:r>
      <w:r w:rsidR="008D3B7E">
        <w:rPr>
          <w:sz w:val="24"/>
        </w:rPr>
        <w:t xml:space="preserve"> closure or suspension of studies when significant risks</w:t>
      </w:r>
      <w:r w:rsidR="008D3B7E">
        <w:rPr>
          <w:spacing w:val="-31"/>
          <w:sz w:val="24"/>
        </w:rPr>
        <w:t xml:space="preserve"> </w:t>
      </w:r>
      <w:r w:rsidR="008D3B7E">
        <w:rPr>
          <w:sz w:val="24"/>
        </w:rPr>
        <w:t>or benefits are</w:t>
      </w:r>
      <w:r w:rsidR="008D3B7E">
        <w:rPr>
          <w:spacing w:val="-2"/>
          <w:sz w:val="24"/>
        </w:rPr>
        <w:t xml:space="preserve"> </w:t>
      </w:r>
      <w:r w:rsidR="008D3B7E">
        <w:rPr>
          <w:sz w:val="24"/>
        </w:rPr>
        <w:t>identified.</w:t>
      </w:r>
    </w:p>
    <w:p w14:paraId="7E366331" w14:textId="77777777" w:rsidR="008D3B7E" w:rsidRDefault="008D3B7E" w:rsidP="008D3B7E">
      <w:pPr>
        <w:pStyle w:val="ListParagraph"/>
        <w:numPr>
          <w:ilvl w:val="1"/>
          <w:numId w:val="3"/>
        </w:numPr>
        <w:tabs>
          <w:tab w:val="left" w:pos="1301"/>
        </w:tabs>
        <w:rPr>
          <w:sz w:val="24"/>
        </w:rPr>
      </w:pPr>
      <w:r>
        <w:rPr>
          <w:sz w:val="24"/>
        </w:rPr>
        <w:t>Description of adverse event reporting</w:t>
      </w:r>
      <w:r>
        <w:rPr>
          <w:spacing w:val="-5"/>
          <w:sz w:val="24"/>
        </w:rPr>
        <w:t xml:space="preserve"> </w:t>
      </w:r>
      <w:r>
        <w:rPr>
          <w:sz w:val="24"/>
        </w:rPr>
        <w:t>procedures.</w:t>
      </w:r>
    </w:p>
    <w:p w14:paraId="07884F3B" w14:textId="77777777" w:rsidR="008D3B7E" w:rsidRDefault="008D3B7E" w:rsidP="008D3B7E">
      <w:pPr>
        <w:pStyle w:val="BodyText"/>
        <w:rPr>
          <w:sz w:val="26"/>
        </w:rPr>
      </w:pPr>
    </w:p>
    <w:p w14:paraId="13544ACD" w14:textId="77777777" w:rsidR="008D3B7E" w:rsidRDefault="008D3B7E" w:rsidP="008D3B7E">
      <w:pPr>
        <w:pStyle w:val="BodyText"/>
        <w:spacing w:before="6"/>
        <w:rPr>
          <w:sz w:val="26"/>
        </w:rPr>
      </w:pPr>
    </w:p>
    <w:p w14:paraId="23C64F13" w14:textId="77777777" w:rsidR="008D3B7E" w:rsidRDefault="008D3B7E" w:rsidP="008D3B7E">
      <w:pPr>
        <w:pStyle w:val="Heading2"/>
        <w:numPr>
          <w:ilvl w:val="0"/>
          <w:numId w:val="3"/>
        </w:numPr>
        <w:tabs>
          <w:tab w:val="left" w:pos="940"/>
          <w:tab w:val="left" w:pos="941"/>
        </w:tabs>
        <w:ind w:hanging="721"/>
      </w:pPr>
      <w:bookmarkStart w:id="7" w:name="_bookmark6"/>
      <w:bookmarkEnd w:id="7"/>
      <w:r>
        <w:t>Oversight</w:t>
      </w:r>
      <w:r>
        <w:rPr>
          <w:spacing w:val="-1"/>
        </w:rPr>
        <w:t xml:space="preserve"> </w:t>
      </w:r>
      <w:r>
        <w:t>Responsibilities</w:t>
      </w:r>
    </w:p>
    <w:p w14:paraId="09D45303" w14:textId="77777777" w:rsidR="008D3B7E" w:rsidRDefault="008D3B7E" w:rsidP="008D3B7E">
      <w:pPr>
        <w:pStyle w:val="BodyText"/>
        <w:spacing w:before="4"/>
        <w:rPr>
          <w:b/>
        </w:rPr>
      </w:pPr>
    </w:p>
    <w:p w14:paraId="31815C07" w14:textId="77777777" w:rsidR="008D3B7E" w:rsidRDefault="008D3B7E" w:rsidP="008D3B7E">
      <w:pPr>
        <w:pStyle w:val="BodyText"/>
        <w:ind w:left="220"/>
      </w:pPr>
      <w:r>
        <w:t>Possible entities engaged in clinical trials data and safety oversight include:</w:t>
      </w:r>
    </w:p>
    <w:p w14:paraId="4AB44C63" w14:textId="77777777" w:rsidR="008D3B7E" w:rsidRDefault="008D3B7E" w:rsidP="008D3B7E">
      <w:pPr>
        <w:pStyle w:val="BodyText"/>
        <w:spacing w:before="6"/>
        <w:rPr>
          <w:sz w:val="20"/>
        </w:rPr>
      </w:pPr>
    </w:p>
    <w:p w14:paraId="01E355A0" w14:textId="77777777" w:rsidR="008D3B7E" w:rsidRDefault="008D3B7E" w:rsidP="008D3B7E">
      <w:pPr>
        <w:pStyle w:val="ListParagraph"/>
        <w:numPr>
          <w:ilvl w:val="1"/>
          <w:numId w:val="3"/>
        </w:numPr>
        <w:tabs>
          <w:tab w:val="left" w:pos="1301"/>
        </w:tabs>
        <w:spacing w:before="0"/>
        <w:rPr>
          <w:sz w:val="24"/>
        </w:rPr>
      </w:pPr>
      <w:r>
        <w:rPr>
          <w:sz w:val="24"/>
        </w:rPr>
        <w:t>DSTC</w:t>
      </w:r>
    </w:p>
    <w:p w14:paraId="09587E92" w14:textId="77777777" w:rsidR="008D3B7E" w:rsidRDefault="008D3B7E" w:rsidP="008D3B7E">
      <w:pPr>
        <w:pStyle w:val="ListParagraph"/>
        <w:numPr>
          <w:ilvl w:val="1"/>
          <w:numId w:val="3"/>
        </w:numPr>
        <w:tabs>
          <w:tab w:val="left" w:pos="1301"/>
        </w:tabs>
        <w:rPr>
          <w:sz w:val="24"/>
        </w:rPr>
      </w:pPr>
      <w:r>
        <w:rPr>
          <w:sz w:val="24"/>
        </w:rPr>
        <w:t>External</w:t>
      </w:r>
      <w:r>
        <w:rPr>
          <w:spacing w:val="-1"/>
          <w:sz w:val="24"/>
        </w:rPr>
        <w:t xml:space="preserve"> </w:t>
      </w:r>
      <w:r>
        <w:rPr>
          <w:sz w:val="24"/>
        </w:rPr>
        <w:t>DSMB</w:t>
      </w:r>
    </w:p>
    <w:p w14:paraId="22FC574C" w14:textId="77777777" w:rsidR="008D3B7E" w:rsidRDefault="008D3B7E" w:rsidP="008D3B7E">
      <w:pPr>
        <w:pStyle w:val="ListParagraph"/>
        <w:numPr>
          <w:ilvl w:val="1"/>
          <w:numId w:val="3"/>
        </w:numPr>
        <w:tabs>
          <w:tab w:val="left" w:pos="1301"/>
        </w:tabs>
        <w:rPr>
          <w:sz w:val="24"/>
        </w:rPr>
      </w:pPr>
      <w:r>
        <w:rPr>
          <w:sz w:val="24"/>
        </w:rPr>
        <w:t>Patient Protocol Review</w:t>
      </w:r>
      <w:r>
        <w:rPr>
          <w:spacing w:val="-3"/>
          <w:sz w:val="24"/>
        </w:rPr>
        <w:t xml:space="preserve"> </w:t>
      </w:r>
      <w:r>
        <w:rPr>
          <w:sz w:val="24"/>
        </w:rPr>
        <w:t>Committees</w:t>
      </w:r>
    </w:p>
    <w:p w14:paraId="45ADC82E" w14:textId="0EBE6BD9" w:rsidR="008D3B7E" w:rsidRDefault="008D3B7E" w:rsidP="008D3B7E">
      <w:pPr>
        <w:pStyle w:val="ListParagraph"/>
        <w:numPr>
          <w:ilvl w:val="2"/>
          <w:numId w:val="3"/>
        </w:numPr>
        <w:tabs>
          <w:tab w:val="left" w:pos="1661"/>
        </w:tabs>
        <w:ind w:right="506"/>
        <w:rPr>
          <w:sz w:val="24"/>
        </w:rPr>
      </w:pPr>
      <w:r>
        <w:rPr>
          <w:sz w:val="24"/>
        </w:rPr>
        <w:t>Early Phase I/II Patient Protocol Review Committee – This Committee reviews all active patients on Phase I and select Phase II trials and evaluates laboratory and clinical data regarding toxicity, response (if applicable)</w:t>
      </w:r>
      <w:r w:rsidR="008C49E0">
        <w:rPr>
          <w:sz w:val="24"/>
        </w:rPr>
        <w:t>,</w:t>
      </w:r>
      <w:r>
        <w:rPr>
          <w:sz w:val="24"/>
        </w:rPr>
        <w:t xml:space="preserve"> and drug tolerance (dose</w:t>
      </w:r>
      <w:r w:rsidR="006319FE">
        <w:rPr>
          <w:sz w:val="24"/>
        </w:rPr>
        <w:t>-</w:t>
      </w:r>
      <w:r>
        <w:rPr>
          <w:sz w:val="24"/>
        </w:rPr>
        <w:t>finding).</w:t>
      </w:r>
    </w:p>
    <w:p w14:paraId="36E5658A" w14:textId="77777777" w:rsidR="008D3B7E" w:rsidRDefault="008D3B7E" w:rsidP="008D3B7E">
      <w:pPr>
        <w:pStyle w:val="ListParagraph"/>
        <w:numPr>
          <w:ilvl w:val="2"/>
          <w:numId w:val="3"/>
        </w:numPr>
        <w:tabs>
          <w:tab w:val="left" w:pos="1661"/>
        </w:tabs>
        <w:spacing w:before="121"/>
        <w:ind w:right="790"/>
        <w:rPr>
          <w:sz w:val="24"/>
        </w:rPr>
      </w:pPr>
      <w:r>
        <w:rPr>
          <w:sz w:val="24"/>
        </w:rPr>
        <w:t>Hematological Malignancy/Stem Cell – This Committee reviews all patients active on stem cell transplant and acute leukemia protocols and evaluates laboratory and clinical data regarding toxicity, response, and drug</w:t>
      </w:r>
      <w:r>
        <w:rPr>
          <w:spacing w:val="-28"/>
          <w:sz w:val="24"/>
        </w:rPr>
        <w:t xml:space="preserve"> </w:t>
      </w:r>
      <w:r>
        <w:rPr>
          <w:sz w:val="24"/>
        </w:rPr>
        <w:t>tolerance.</w:t>
      </w:r>
    </w:p>
    <w:p w14:paraId="1975329B" w14:textId="77777777" w:rsidR="008D3B7E" w:rsidRDefault="008D3B7E" w:rsidP="008D3B7E">
      <w:pPr>
        <w:pStyle w:val="ListParagraph"/>
        <w:numPr>
          <w:ilvl w:val="2"/>
          <w:numId w:val="3"/>
        </w:numPr>
        <w:tabs>
          <w:tab w:val="left" w:pos="1661"/>
        </w:tabs>
        <w:ind w:right="645"/>
        <w:rPr>
          <w:sz w:val="24"/>
        </w:rPr>
      </w:pPr>
      <w:r>
        <w:rPr>
          <w:sz w:val="24"/>
        </w:rPr>
        <w:t>Gene therapy – Patients are presented at either an ad hoc special committee</w:t>
      </w:r>
      <w:r>
        <w:rPr>
          <w:spacing w:val="-29"/>
          <w:sz w:val="24"/>
        </w:rPr>
        <w:t xml:space="preserve"> </w:t>
      </w:r>
      <w:r>
        <w:rPr>
          <w:sz w:val="24"/>
        </w:rPr>
        <w:t>or committee listed above, as deemed appropriate for the</w:t>
      </w:r>
      <w:r>
        <w:rPr>
          <w:spacing w:val="-7"/>
          <w:sz w:val="24"/>
        </w:rPr>
        <w:t xml:space="preserve"> </w:t>
      </w:r>
      <w:r>
        <w:rPr>
          <w:sz w:val="24"/>
        </w:rPr>
        <w:t>protocol.</w:t>
      </w:r>
    </w:p>
    <w:p w14:paraId="72DE3F3A" w14:textId="5209BADB" w:rsidR="008D3B7E" w:rsidRPr="006319FE" w:rsidRDefault="008D3B7E" w:rsidP="008D3B7E">
      <w:pPr>
        <w:pStyle w:val="ListParagraph"/>
        <w:numPr>
          <w:ilvl w:val="2"/>
          <w:numId w:val="3"/>
        </w:numPr>
        <w:tabs>
          <w:tab w:val="left" w:pos="1661"/>
        </w:tabs>
        <w:spacing w:before="121"/>
        <w:rPr>
          <w:sz w:val="20"/>
        </w:rPr>
      </w:pPr>
      <w:r>
        <w:rPr>
          <w:sz w:val="24"/>
        </w:rPr>
        <w:t>Population Science and Biobehavioral Research Review</w:t>
      </w:r>
      <w:r w:rsidRPr="006319FE">
        <w:rPr>
          <w:spacing w:val="-4"/>
          <w:sz w:val="24"/>
        </w:rPr>
        <w:t xml:space="preserve"> </w:t>
      </w:r>
      <w:r>
        <w:rPr>
          <w:sz w:val="24"/>
        </w:rPr>
        <w:t>Committee</w:t>
      </w:r>
    </w:p>
    <w:p w14:paraId="532C7E9E" w14:textId="77777777" w:rsidR="008D3B7E" w:rsidRDefault="008D3B7E" w:rsidP="008D3B7E">
      <w:pPr>
        <w:pStyle w:val="BodyText"/>
        <w:spacing w:before="11"/>
        <w:rPr>
          <w:sz w:val="21"/>
        </w:rPr>
      </w:pPr>
    </w:p>
    <w:p w14:paraId="6D0258A0" w14:textId="77777777" w:rsidR="008D3B7E" w:rsidRDefault="008D3B7E" w:rsidP="008D3B7E">
      <w:pPr>
        <w:pStyle w:val="Heading2"/>
        <w:numPr>
          <w:ilvl w:val="0"/>
          <w:numId w:val="3"/>
        </w:numPr>
        <w:tabs>
          <w:tab w:val="left" w:pos="940"/>
          <w:tab w:val="left" w:pos="941"/>
        </w:tabs>
        <w:spacing w:before="90"/>
        <w:ind w:hanging="721"/>
      </w:pPr>
      <w:bookmarkStart w:id="8" w:name="_bookmark7"/>
      <w:bookmarkEnd w:id="8"/>
      <w:r>
        <w:t>Protocol Risk</w:t>
      </w:r>
      <w:r>
        <w:rPr>
          <w:spacing w:val="-3"/>
        </w:rPr>
        <w:t xml:space="preserve"> </w:t>
      </w:r>
      <w:r>
        <w:t>Assessment</w:t>
      </w:r>
    </w:p>
    <w:p w14:paraId="0E0EDB2E" w14:textId="77777777" w:rsidR="008D3B7E" w:rsidRDefault="008D3B7E" w:rsidP="008D3B7E">
      <w:pPr>
        <w:pStyle w:val="BodyText"/>
        <w:spacing w:before="3"/>
        <w:rPr>
          <w:b/>
        </w:rPr>
      </w:pPr>
    </w:p>
    <w:p w14:paraId="6AFB1A4C" w14:textId="1F7A8A32" w:rsidR="008D3B7E" w:rsidRDefault="008D3B7E" w:rsidP="008D3B7E">
      <w:pPr>
        <w:pStyle w:val="BodyText"/>
        <w:spacing w:before="1" w:line="276" w:lineRule="auto"/>
        <w:ind w:left="220" w:right="494"/>
      </w:pPr>
      <w:r>
        <w:t>The PRMC is charged with assigning a risk level to each clinical trial as it pertains to patient safety at WVU. Clinical trials with an external DSMB or defined data and safety monitoring plan (i.e.</w:t>
      </w:r>
      <w:r w:rsidR="006319FE">
        <w:t>,</w:t>
      </w:r>
      <w:r>
        <w:t xml:space="preserve"> external-reviewed studies) will be reviewed annually as outlined for low-risk trials unless determined otherwise by the PRMC. Risk levels are assigned using the following scale:</w:t>
      </w:r>
    </w:p>
    <w:p w14:paraId="3E2CC45B" w14:textId="3D8EC0F5" w:rsidR="008D3B7E" w:rsidRDefault="008D3B7E" w:rsidP="008D3B7E">
      <w:pPr>
        <w:pStyle w:val="ListParagraph"/>
        <w:numPr>
          <w:ilvl w:val="1"/>
          <w:numId w:val="3"/>
        </w:numPr>
        <w:tabs>
          <w:tab w:val="left" w:pos="1301"/>
        </w:tabs>
        <w:spacing w:before="195"/>
        <w:ind w:right="380"/>
        <w:rPr>
          <w:sz w:val="24"/>
        </w:rPr>
      </w:pPr>
      <w:r>
        <w:rPr>
          <w:b/>
          <w:sz w:val="24"/>
          <w:u w:val="thick"/>
        </w:rPr>
        <w:t>High Risk</w:t>
      </w:r>
      <w:r>
        <w:rPr>
          <w:b/>
          <w:sz w:val="24"/>
        </w:rPr>
        <w:t xml:space="preserve"> </w:t>
      </w:r>
      <w:r>
        <w:rPr>
          <w:sz w:val="24"/>
        </w:rPr>
        <w:t xml:space="preserve">– A trial may be considered high risk based on </w:t>
      </w:r>
      <w:r w:rsidR="00B672AE">
        <w:rPr>
          <w:sz w:val="24"/>
        </w:rPr>
        <w:t xml:space="preserve">the </w:t>
      </w:r>
      <w:r>
        <w:rPr>
          <w:sz w:val="24"/>
        </w:rPr>
        <w:t>novelty of therapeutic intervention or the degree of risk to the patient. Examples include but are not</w:t>
      </w:r>
      <w:r>
        <w:rPr>
          <w:spacing w:val="-37"/>
          <w:sz w:val="24"/>
        </w:rPr>
        <w:t xml:space="preserve"> </w:t>
      </w:r>
      <w:r>
        <w:rPr>
          <w:sz w:val="24"/>
        </w:rPr>
        <w:t>limited to the following: investigator-initiated Phase I trials, first in human trials, gene therapy or any study involving drugs with potentially severe and/or life-threatening side-effects (e.g., stem cell</w:t>
      </w:r>
      <w:r>
        <w:rPr>
          <w:spacing w:val="-2"/>
          <w:sz w:val="24"/>
        </w:rPr>
        <w:t xml:space="preserve"> </w:t>
      </w:r>
      <w:r>
        <w:rPr>
          <w:sz w:val="24"/>
        </w:rPr>
        <w:t>therapies).</w:t>
      </w:r>
    </w:p>
    <w:p w14:paraId="56759C84" w14:textId="77777777" w:rsidR="008D3B7E" w:rsidRDefault="008D3B7E" w:rsidP="008D3B7E">
      <w:pPr>
        <w:pStyle w:val="BodyText"/>
      </w:pPr>
    </w:p>
    <w:p w14:paraId="79025C66" w14:textId="3BDA17DB" w:rsidR="008D3B7E" w:rsidRDefault="008D3B7E" w:rsidP="008D3B7E">
      <w:pPr>
        <w:pStyle w:val="BodyText"/>
        <w:ind w:left="1301" w:right="321"/>
      </w:pPr>
      <w:r>
        <w:t>Investigators and the Clinical Trials Research Unit (CTRU) staff will conduct continuous review of data and patient safety with the designated Patient Protocol Review Committee (as listed in Section B above) at their weekly meeting. The status and results of each patient’s treatment are discussed and documented in the minutes. The discussion will include for each dose level: the number of patients (including those in screening, follow up and off study) significant toxicities as described in the protocol, dose adjustments, and responses observed, evaluation and approval if any planned dose level escalation or de-escalation.</w:t>
      </w:r>
    </w:p>
    <w:p w14:paraId="6A9FBD32" w14:textId="77777777" w:rsidR="008D3B7E" w:rsidRDefault="008D3B7E" w:rsidP="008D3B7E">
      <w:pPr>
        <w:pStyle w:val="BodyText"/>
        <w:spacing w:before="5"/>
      </w:pPr>
    </w:p>
    <w:p w14:paraId="0D2A2905" w14:textId="77777777" w:rsidR="008D3B7E" w:rsidRDefault="008D3B7E" w:rsidP="008D3B7E">
      <w:pPr>
        <w:pStyle w:val="Heading3"/>
      </w:pPr>
      <w:r>
        <w:t>Monthly summaries will be submitted to the DSTC for</w:t>
      </w:r>
      <w:r>
        <w:rPr>
          <w:spacing w:val="-29"/>
        </w:rPr>
        <w:t xml:space="preserve"> </w:t>
      </w:r>
      <w:r>
        <w:t>review.</w:t>
      </w:r>
    </w:p>
    <w:p w14:paraId="25744FFA" w14:textId="77777777" w:rsidR="008D3B7E" w:rsidRDefault="008D3B7E" w:rsidP="008D3B7E">
      <w:pPr>
        <w:pStyle w:val="BodyText"/>
        <w:rPr>
          <w:b/>
          <w:i/>
          <w:sz w:val="26"/>
        </w:rPr>
      </w:pPr>
    </w:p>
    <w:p w14:paraId="7A2CF545" w14:textId="77777777" w:rsidR="008D3B7E" w:rsidRDefault="008D3B7E" w:rsidP="008D3B7E">
      <w:pPr>
        <w:pStyle w:val="BodyText"/>
        <w:spacing w:before="7"/>
        <w:rPr>
          <w:b/>
          <w:i/>
          <w:sz w:val="21"/>
        </w:rPr>
      </w:pPr>
    </w:p>
    <w:p w14:paraId="29CA54E6" w14:textId="31CA3660" w:rsidR="008D3B7E" w:rsidRDefault="008D3B7E" w:rsidP="008D3B7E">
      <w:pPr>
        <w:pStyle w:val="ListParagraph"/>
        <w:numPr>
          <w:ilvl w:val="1"/>
          <w:numId w:val="3"/>
        </w:numPr>
        <w:tabs>
          <w:tab w:val="left" w:pos="1301"/>
        </w:tabs>
        <w:spacing w:before="1"/>
        <w:ind w:right="618"/>
        <w:rPr>
          <w:sz w:val="24"/>
        </w:rPr>
      </w:pPr>
      <w:r>
        <w:rPr>
          <w:b/>
          <w:sz w:val="24"/>
          <w:u w:val="thick"/>
        </w:rPr>
        <w:t>Moderate Risk</w:t>
      </w:r>
      <w:r>
        <w:rPr>
          <w:b/>
          <w:sz w:val="24"/>
        </w:rPr>
        <w:t xml:space="preserve"> </w:t>
      </w:r>
      <w:r>
        <w:rPr>
          <w:sz w:val="24"/>
        </w:rPr>
        <w:t>– A moderate risk trial may include an agent with less novelty</w:t>
      </w:r>
      <w:r>
        <w:rPr>
          <w:spacing w:val="-39"/>
          <w:sz w:val="24"/>
        </w:rPr>
        <w:t xml:space="preserve"> </w:t>
      </w:r>
      <w:r>
        <w:rPr>
          <w:sz w:val="24"/>
        </w:rPr>
        <w:t xml:space="preserve">for which there </w:t>
      </w:r>
      <w:r w:rsidR="00B672AE">
        <w:rPr>
          <w:sz w:val="24"/>
        </w:rPr>
        <w:t>is</w:t>
      </w:r>
      <w:r>
        <w:rPr>
          <w:sz w:val="24"/>
        </w:rPr>
        <w:t xml:space="preserve"> some clinical experience and appreciation </w:t>
      </w:r>
      <w:r>
        <w:rPr>
          <w:spacing w:val="-3"/>
          <w:sz w:val="24"/>
        </w:rPr>
        <w:t xml:space="preserve">of </w:t>
      </w:r>
      <w:r>
        <w:rPr>
          <w:sz w:val="24"/>
        </w:rPr>
        <w:t>clinical toxicity. Examples include but are not limited to Phase I, Phase II, or Phase III trials that involve an agent that has moderate</w:t>
      </w:r>
      <w:r>
        <w:rPr>
          <w:spacing w:val="-7"/>
          <w:sz w:val="24"/>
        </w:rPr>
        <w:t xml:space="preserve"> </w:t>
      </w:r>
      <w:r>
        <w:rPr>
          <w:sz w:val="24"/>
        </w:rPr>
        <w:t>toxicity.</w:t>
      </w:r>
    </w:p>
    <w:p w14:paraId="5227C6B5" w14:textId="77777777" w:rsidR="008D3B7E" w:rsidRDefault="008D3B7E" w:rsidP="008D3B7E">
      <w:pPr>
        <w:pStyle w:val="BodyText"/>
        <w:spacing w:before="4"/>
      </w:pPr>
    </w:p>
    <w:p w14:paraId="5AFEEEB6" w14:textId="77777777" w:rsidR="008D3B7E" w:rsidRDefault="008D3B7E" w:rsidP="008D3B7E">
      <w:pPr>
        <w:pStyle w:val="Heading3"/>
      </w:pPr>
      <w:r>
        <w:t>Quarterly summaries will be submitted to the DSTC for review.</w:t>
      </w:r>
    </w:p>
    <w:p w14:paraId="0118979C" w14:textId="77777777" w:rsidR="008D3B7E" w:rsidRDefault="008D3B7E" w:rsidP="008D3B7E">
      <w:pPr>
        <w:pStyle w:val="BodyText"/>
        <w:spacing w:before="8"/>
        <w:rPr>
          <w:b/>
          <w:i/>
          <w:sz w:val="23"/>
        </w:rPr>
      </w:pPr>
    </w:p>
    <w:p w14:paraId="277CE6D5" w14:textId="77777777" w:rsidR="008D3B7E" w:rsidRDefault="008D3B7E" w:rsidP="008D3B7E">
      <w:pPr>
        <w:pStyle w:val="ListParagraph"/>
        <w:numPr>
          <w:ilvl w:val="1"/>
          <w:numId w:val="3"/>
        </w:numPr>
        <w:tabs>
          <w:tab w:val="left" w:pos="1301"/>
        </w:tabs>
        <w:spacing w:before="0"/>
        <w:ind w:right="281"/>
        <w:rPr>
          <w:sz w:val="24"/>
        </w:rPr>
      </w:pPr>
      <w:r>
        <w:rPr>
          <w:b/>
          <w:sz w:val="24"/>
          <w:u w:val="thick"/>
        </w:rPr>
        <w:t>Low Risk</w:t>
      </w:r>
      <w:r>
        <w:rPr>
          <w:b/>
          <w:sz w:val="24"/>
        </w:rPr>
        <w:t xml:space="preserve"> </w:t>
      </w:r>
      <w:r>
        <w:rPr>
          <w:sz w:val="24"/>
        </w:rPr>
        <w:t xml:space="preserve">– A low-risk trial typically include agents for which the clinical safety spectrum is generally well characterized </w:t>
      </w:r>
      <w:r>
        <w:rPr>
          <w:spacing w:val="-3"/>
          <w:sz w:val="24"/>
        </w:rPr>
        <w:t xml:space="preserve">or </w:t>
      </w:r>
      <w:r>
        <w:rPr>
          <w:sz w:val="24"/>
        </w:rPr>
        <w:t>other non-interventional types of studies. Examples include but are not limited to: Phase III trials with existing extensive</w:t>
      </w:r>
      <w:r>
        <w:rPr>
          <w:spacing w:val="-35"/>
          <w:sz w:val="24"/>
        </w:rPr>
        <w:t xml:space="preserve"> </w:t>
      </w:r>
      <w:r>
        <w:rPr>
          <w:sz w:val="24"/>
        </w:rPr>
        <w:t>safety data, registries, correlative trials, behavioral health, prevention,</w:t>
      </w:r>
      <w:r>
        <w:rPr>
          <w:spacing w:val="-9"/>
          <w:sz w:val="24"/>
        </w:rPr>
        <w:t xml:space="preserve"> </w:t>
      </w:r>
      <w:r>
        <w:rPr>
          <w:sz w:val="24"/>
        </w:rPr>
        <w:t>etc.</w:t>
      </w:r>
    </w:p>
    <w:p w14:paraId="7DB044D4" w14:textId="77777777" w:rsidR="008D3B7E" w:rsidRDefault="008D3B7E" w:rsidP="008D3B7E">
      <w:pPr>
        <w:pStyle w:val="BodyText"/>
        <w:spacing w:before="4"/>
      </w:pPr>
    </w:p>
    <w:p w14:paraId="6E4D8158" w14:textId="77777777" w:rsidR="008D3B7E" w:rsidRDefault="008D3B7E" w:rsidP="008D3B7E">
      <w:pPr>
        <w:pStyle w:val="Heading3"/>
      </w:pPr>
      <w:r>
        <w:t>Annual summaries are reviewed coinciding with the WVU IRB Continuing Review schedule.</w:t>
      </w:r>
    </w:p>
    <w:p w14:paraId="2E680D06" w14:textId="77777777" w:rsidR="008D3B7E" w:rsidRDefault="008D3B7E" w:rsidP="008D3B7E">
      <w:pPr>
        <w:pStyle w:val="BodyText"/>
        <w:spacing w:before="8"/>
        <w:rPr>
          <w:b/>
          <w:i/>
          <w:sz w:val="23"/>
        </w:rPr>
      </w:pPr>
    </w:p>
    <w:p w14:paraId="68C862FD" w14:textId="77777777" w:rsidR="008D3B7E" w:rsidRDefault="008D3B7E" w:rsidP="008D3B7E">
      <w:pPr>
        <w:pStyle w:val="BodyText"/>
        <w:ind w:left="220" w:right="322"/>
        <w:jc w:val="both"/>
      </w:pPr>
      <w:r>
        <w:t>The DSTC will review all major protocol violations and SAE’s requiring expedited reporting,</w:t>
      </w:r>
      <w:r>
        <w:rPr>
          <w:spacing w:val="-29"/>
        </w:rPr>
        <w:t xml:space="preserve"> </w:t>
      </w:r>
      <w:r>
        <w:t>as defined in the protocol. Periodic reporting to the DSTC should include summary data regarding enrollment, patient status, and safety and toxicity as defined in Reporting Requirements</w:t>
      </w:r>
      <w:r>
        <w:rPr>
          <w:spacing w:val="-24"/>
        </w:rPr>
        <w:t xml:space="preserve"> </w:t>
      </w:r>
      <w:r>
        <w:t>(C).</w:t>
      </w:r>
    </w:p>
    <w:p w14:paraId="6A8A6C82" w14:textId="77777777" w:rsidR="008D3B7E" w:rsidRDefault="008D3B7E" w:rsidP="008D3B7E">
      <w:pPr>
        <w:jc w:val="both"/>
        <w:sectPr w:rsidR="008D3B7E">
          <w:pgSz w:w="12240" w:h="15840"/>
          <w:pgMar w:top="1360" w:right="1220" w:bottom="960" w:left="1220" w:header="720" w:footer="765" w:gutter="0"/>
          <w:cols w:space="720"/>
        </w:sectPr>
      </w:pPr>
    </w:p>
    <w:p w14:paraId="5B71A6F1" w14:textId="602E5E86" w:rsidR="008D3B7E" w:rsidRDefault="008D3B7E" w:rsidP="008D3B7E">
      <w:pPr>
        <w:pStyle w:val="BodyText"/>
        <w:spacing w:before="56"/>
        <w:ind w:left="220" w:right="235"/>
      </w:pPr>
      <w:r>
        <w:lastRenderedPageBreak/>
        <w:t>Further elements of risk to consider include conflict of interest, faculty held IND/IDE, multi-site trial, etc. The Quality Assurance Specialist will review each protocol’s DSMP and report to the PRMC on its adequacy.</w:t>
      </w:r>
    </w:p>
    <w:p w14:paraId="321E6516" w14:textId="77777777" w:rsidR="008D3B7E" w:rsidRDefault="008D3B7E" w:rsidP="008D3B7E">
      <w:pPr>
        <w:pStyle w:val="BodyText"/>
        <w:spacing w:before="10"/>
        <w:rPr>
          <w:sz w:val="31"/>
        </w:rPr>
      </w:pPr>
    </w:p>
    <w:p w14:paraId="5318C84B" w14:textId="3C286D14" w:rsidR="008D3B7E" w:rsidRPr="008D3B7E" w:rsidRDefault="008D3B7E" w:rsidP="008D3B7E">
      <w:pPr>
        <w:pStyle w:val="IRBHeadingA"/>
        <w:numPr>
          <w:ilvl w:val="0"/>
          <w:numId w:val="7"/>
        </w:numPr>
        <w:rPr>
          <w:sz w:val="28"/>
          <w:szCs w:val="28"/>
        </w:rPr>
      </w:pPr>
      <w:bookmarkStart w:id="9" w:name="_bookmark8"/>
      <w:bookmarkEnd w:id="9"/>
      <w:r w:rsidRPr="003333BB">
        <w:t>Reporting</w:t>
      </w:r>
      <w:r w:rsidRPr="008D3B7E">
        <w:rPr>
          <w:sz w:val="28"/>
          <w:szCs w:val="28"/>
        </w:rPr>
        <w:t xml:space="preserve"> Requirements</w:t>
      </w:r>
    </w:p>
    <w:p w14:paraId="78C8D423" w14:textId="77777777" w:rsidR="008D3B7E" w:rsidRDefault="008D3B7E" w:rsidP="008D3B7E">
      <w:pPr>
        <w:pStyle w:val="BodyText"/>
        <w:rPr>
          <w:b/>
          <w:sz w:val="30"/>
        </w:rPr>
      </w:pPr>
    </w:p>
    <w:p w14:paraId="4B7F3C53" w14:textId="77777777" w:rsidR="008D3B7E" w:rsidRDefault="008D3B7E" w:rsidP="008D3B7E">
      <w:pPr>
        <w:pStyle w:val="Heading2"/>
        <w:numPr>
          <w:ilvl w:val="0"/>
          <w:numId w:val="2"/>
        </w:numPr>
        <w:tabs>
          <w:tab w:val="left" w:pos="1000"/>
          <w:tab w:val="left" w:pos="1001"/>
        </w:tabs>
        <w:spacing w:before="187"/>
        <w:ind w:hanging="781"/>
      </w:pPr>
      <w:bookmarkStart w:id="10" w:name="_bookmark9"/>
      <w:bookmarkEnd w:id="10"/>
      <w:r>
        <w:t>Serious Adverse Events – Internally Reviewed</w:t>
      </w:r>
      <w:r>
        <w:rPr>
          <w:spacing w:val="-3"/>
        </w:rPr>
        <w:t xml:space="preserve"> </w:t>
      </w:r>
      <w:r>
        <w:t>Trials</w:t>
      </w:r>
    </w:p>
    <w:p w14:paraId="6B3A0E7F" w14:textId="77777777" w:rsidR="008D3B7E" w:rsidRDefault="008D3B7E" w:rsidP="008D3B7E">
      <w:pPr>
        <w:pStyle w:val="BodyText"/>
        <w:rPr>
          <w:b/>
        </w:rPr>
      </w:pPr>
    </w:p>
    <w:p w14:paraId="2D4B0FE1" w14:textId="77777777" w:rsidR="008D3B7E" w:rsidRDefault="008D3B7E" w:rsidP="008D3B7E">
      <w:pPr>
        <w:pStyle w:val="ListParagraph"/>
        <w:numPr>
          <w:ilvl w:val="1"/>
          <w:numId w:val="2"/>
        </w:numPr>
        <w:tabs>
          <w:tab w:val="left" w:pos="1301"/>
        </w:tabs>
        <w:spacing w:before="0"/>
        <w:ind w:right="756"/>
        <w:rPr>
          <w:b/>
          <w:sz w:val="24"/>
        </w:rPr>
      </w:pPr>
      <w:r>
        <w:rPr>
          <w:b/>
          <w:sz w:val="24"/>
        </w:rPr>
        <w:t>Serious Adverse Events requiring expedited reporting – Reported within 24 hours</w:t>
      </w:r>
    </w:p>
    <w:p w14:paraId="33ACFA63" w14:textId="77777777" w:rsidR="008D3B7E" w:rsidRDefault="008D3B7E" w:rsidP="008D3B7E">
      <w:pPr>
        <w:pStyle w:val="BodyText"/>
        <w:spacing w:before="8"/>
        <w:rPr>
          <w:b/>
          <w:sz w:val="23"/>
        </w:rPr>
      </w:pPr>
    </w:p>
    <w:p w14:paraId="0E0E8507" w14:textId="3594C0B7" w:rsidR="008D3B7E" w:rsidRDefault="008D3B7E" w:rsidP="008D3B7E">
      <w:pPr>
        <w:pStyle w:val="BodyText"/>
        <w:ind w:left="1032" w:right="321"/>
      </w:pPr>
      <w:r>
        <w:t>Serious Adverse Events (SAE) requiring expedited reporting within 24 hours (as described in the protocol) will also be reported to the Medical Director for Clinical Trials or DSTC Chair/Co-Chair, as defined in the protocol within one working day. CTEP AERS form or FDA MedWatch Form #3500 and/or any other documentation should be submitted per sponsor requirements. Within 5 working days</w:t>
      </w:r>
      <w:r w:rsidR="00B672AE">
        <w:t>,</w:t>
      </w:r>
      <w:r>
        <w:t xml:space="preserve"> the initial report and all subsequent SAE documentation that is available will be submitted to the DSTC. The DSTC will determine if further action is required.</w:t>
      </w:r>
    </w:p>
    <w:p w14:paraId="5E1227F2" w14:textId="77777777" w:rsidR="008D3B7E" w:rsidRDefault="008D3B7E" w:rsidP="008D3B7E">
      <w:pPr>
        <w:pStyle w:val="BodyText"/>
        <w:spacing w:before="1"/>
      </w:pPr>
    </w:p>
    <w:p w14:paraId="799356E9" w14:textId="77777777" w:rsidR="008D3B7E" w:rsidRDefault="008D3B7E" w:rsidP="008D3B7E">
      <w:pPr>
        <w:pStyle w:val="BodyText"/>
        <w:ind w:left="1032" w:right="321"/>
      </w:pPr>
      <w:r>
        <w:t>If the SAE occurs on a multiple-institutional clinical trial coordinated by WVU, the Network Coordinator will ensure that all participating sites are notified of the event and resulting action within two working days of the determination.</w:t>
      </w:r>
    </w:p>
    <w:p w14:paraId="247A2D58" w14:textId="77777777" w:rsidR="008D3B7E" w:rsidRDefault="008D3B7E" w:rsidP="008D3B7E">
      <w:pPr>
        <w:pStyle w:val="BodyText"/>
        <w:spacing w:before="4"/>
      </w:pPr>
    </w:p>
    <w:p w14:paraId="7E2A56D1" w14:textId="77777777" w:rsidR="008D3B7E" w:rsidRDefault="008D3B7E" w:rsidP="008D3B7E">
      <w:pPr>
        <w:pStyle w:val="ListParagraph"/>
        <w:numPr>
          <w:ilvl w:val="1"/>
          <w:numId w:val="2"/>
        </w:numPr>
        <w:tabs>
          <w:tab w:val="left" w:pos="1301"/>
        </w:tabs>
        <w:spacing w:before="0"/>
        <w:rPr>
          <w:b/>
          <w:sz w:val="24"/>
        </w:rPr>
      </w:pPr>
      <w:r>
        <w:rPr>
          <w:b/>
          <w:sz w:val="24"/>
        </w:rPr>
        <w:t>Serious Adverse Event – Reported within 5 working</w:t>
      </w:r>
      <w:r>
        <w:rPr>
          <w:b/>
          <w:spacing w:val="-8"/>
          <w:sz w:val="24"/>
        </w:rPr>
        <w:t xml:space="preserve"> </w:t>
      </w:r>
      <w:r>
        <w:rPr>
          <w:b/>
          <w:sz w:val="24"/>
        </w:rPr>
        <w:t>Days</w:t>
      </w:r>
    </w:p>
    <w:p w14:paraId="39518590" w14:textId="77777777" w:rsidR="008D3B7E" w:rsidRDefault="008D3B7E" w:rsidP="008D3B7E">
      <w:pPr>
        <w:pStyle w:val="BodyText"/>
        <w:spacing w:before="8"/>
        <w:rPr>
          <w:b/>
          <w:sz w:val="23"/>
        </w:rPr>
      </w:pPr>
    </w:p>
    <w:p w14:paraId="077DC60C" w14:textId="3247C714" w:rsidR="008D3B7E" w:rsidRDefault="008D3B7E" w:rsidP="008D3B7E">
      <w:pPr>
        <w:pStyle w:val="BodyText"/>
        <w:ind w:left="940" w:right="255"/>
      </w:pPr>
      <w:r>
        <w:t xml:space="preserve">Serious Adverse Events requiring expedited reporting within 5 working days (as described in the protocol) will also be sent to the DSTC. The SAE report, such as </w:t>
      </w:r>
      <w:r w:rsidR="00093C2C">
        <w:t xml:space="preserve">the </w:t>
      </w:r>
      <w:r>
        <w:t>CTEP AERS form or FDA MedWatch Form #3500 and/or any other documentation available at that time</w:t>
      </w:r>
      <w:r w:rsidR="00093C2C">
        <w:t>,</w:t>
      </w:r>
      <w:r>
        <w:t xml:space="preserve"> will be reviewed by the DSTC to determine if further action is required.</w:t>
      </w:r>
    </w:p>
    <w:p w14:paraId="7F2380F0" w14:textId="77777777" w:rsidR="008D3B7E" w:rsidRDefault="008D3B7E" w:rsidP="008D3B7E">
      <w:pPr>
        <w:pStyle w:val="BodyText"/>
      </w:pPr>
    </w:p>
    <w:p w14:paraId="10167B70" w14:textId="77777777" w:rsidR="008D3B7E" w:rsidRDefault="008D3B7E" w:rsidP="008D3B7E">
      <w:pPr>
        <w:pStyle w:val="BodyText"/>
        <w:ind w:left="940" w:right="435"/>
      </w:pPr>
      <w:r>
        <w:t>If the SAE occurs on a multiple-institutional clinical trial coordinated by the WVU, the Network Coordinator will ensure that all participating sites are notified</w:t>
      </w:r>
      <w:r>
        <w:rPr>
          <w:spacing w:val="-34"/>
        </w:rPr>
        <w:t xml:space="preserve"> </w:t>
      </w:r>
      <w:r>
        <w:t>of the event and resulting action within one week of the</w:t>
      </w:r>
      <w:r>
        <w:rPr>
          <w:spacing w:val="-9"/>
        </w:rPr>
        <w:t xml:space="preserve"> </w:t>
      </w:r>
      <w:r>
        <w:t>determination.</w:t>
      </w:r>
    </w:p>
    <w:p w14:paraId="498A4217" w14:textId="77777777" w:rsidR="008D3B7E" w:rsidRDefault="008D3B7E" w:rsidP="008D3B7E">
      <w:pPr>
        <w:pStyle w:val="BodyText"/>
        <w:rPr>
          <w:sz w:val="26"/>
        </w:rPr>
      </w:pPr>
    </w:p>
    <w:p w14:paraId="5816545B" w14:textId="77777777" w:rsidR="008D3B7E" w:rsidRDefault="008D3B7E" w:rsidP="008D3B7E">
      <w:pPr>
        <w:pStyle w:val="Heading2"/>
        <w:numPr>
          <w:ilvl w:val="0"/>
          <w:numId w:val="2"/>
        </w:numPr>
        <w:tabs>
          <w:tab w:val="left" w:pos="1000"/>
          <w:tab w:val="left" w:pos="1001"/>
        </w:tabs>
        <w:spacing w:before="186"/>
        <w:ind w:hanging="781"/>
      </w:pPr>
      <w:bookmarkStart w:id="11" w:name="_bookmark10"/>
      <w:bookmarkEnd w:id="11"/>
      <w:r>
        <w:t>Serious Adverse Event – Externally sponsored</w:t>
      </w:r>
      <w:r>
        <w:rPr>
          <w:spacing w:val="-24"/>
        </w:rPr>
        <w:t xml:space="preserve"> </w:t>
      </w:r>
      <w:r>
        <w:t>studies</w:t>
      </w:r>
    </w:p>
    <w:p w14:paraId="6BAF0564" w14:textId="77777777" w:rsidR="008D3B7E" w:rsidRDefault="008D3B7E" w:rsidP="008D3B7E">
      <w:pPr>
        <w:pStyle w:val="BodyText"/>
        <w:spacing w:before="7"/>
        <w:rPr>
          <w:b/>
          <w:sz w:val="23"/>
        </w:rPr>
      </w:pPr>
    </w:p>
    <w:p w14:paraId="346EC178" w14:textId="77777777" w:rsidR="008D3B7E" w:rsidRDefault="008D3B7E" w:rsidP="008D3B7E">
      <w:pPr>
        <w:pStyle w:val="BodyText"/>
        <w:ind w:left="220" w:right="435"/>
      </w:pPr>
      <w:r>
        <w:t>All SAE’s requiring expedited reporting, as defined in the protocol, will be reviewed by the DSTC on a schedule determined by the PRMC assigned level of risk.</w:t>
      </w:r>
    </w:p>
    <w:p w14:paraId="1800E10D" w14:textId="77777777" w:rsidR="008D3B7E" w:rsidRDefault="008D3B7E" w:rsidP="008D3B7E">
      <w:pPr>
        <w:pStyle w:val="BodyText"/>
        <w:rPr>
          <w:sz w:val="26"/>
        </w:rPr>
      </w:pPr>
    </w:p>
    <w:p w14:paraId="74C67BFF" w14:textId="77777777" w:rsidR="008D3B7E" w:rsidRDefault="008D3B7E" w:rsidP="008D3B7E">
      <w:pPr>
        <w:pStyle w:val="Heading2"/>
        <w:numPr>
          <w:ilvl w:val="0"/>
          <w:numId w:val="2"/>
        </w:numPr>
        <w:tabs>
          <w:tab w:val="left" w:pos="940"/>
          <w:tab w:val="left" w:pos="941"/>
        </w:tabs>
        <w:spacing w:before="186"/>
        <w:ind w:left="940" w:hanging="721"/>
      </w:pPr>
      <w:bookmarkStart w:id="12" w:name="_bookmark11"/>
      <w:bookmarkEnd w:id="12"/>
      <w:r>
        <w:t>Protocol Summary</w:t>
      </w:r>
      <w:r>
        <w:rPr>
          <w:spacing w:val="2"/>
        </w:rPr>
        <w:t xml:space="preserve"> </w:t>
      </w:r>
      <w:r>
        <w:t>Report</w:t>
      </w:r>
    </w:p>
    <w:p w14:paraId="7D8FE264" w14:textId="77777777" w:rsidR="008D3B7E" w:rsidRDefault="008D3B7E" w:rsidP="008D3B7E">
      <w:pPr>
        <w:pStyle w:val="BodyText"/>
        <w:spacing w:before="7"/>
        <w:rPr>
          <w:b/>
          <w:sz w:val="23"/>
        </w:rPr>
      </w:pPr>
    </w:p>
    <w:p w14:paraId="13ED00CE" w14:textId="77777777" w:rsidR="008D3B7E" w:rsidRDefault="008D3B7E" w:rsidP="008D3B7E">
      <w:pPr>
        <w:pStyle w:val="BodyText"/>
        <w:spacing w:before="1"/>
        <w:ind w:left="220" w:right="215"/>
      </w:pPr>
      <w:r>
        <w:t xml:space="preserve">Protocol Summary Reports (PSR) are required to be submitted to the DSTC commensurate with the level of risk. The PSR provides a cumulative report of serious adverse events requiring </w:t>
      </w:r>
      <w:r>
        <w:lastRenderedPageBreak/>
        <w:t>expedited reporting, as well as any protocol violations, deviations, or unanticipated problems,</w:t>
      </w:r>
    </w:p>
    <w:p w14:paraId="064496A9" w14:textId="77777777" w:rsidR="008D3B7E" w:rsidRDefault="008D3B7E" w:rsidP="008D3B7E">
      <w:pPr>
        <w:sectPr w:rsidR="008D3B7E">
          <w:pgSz w:w="12240" w:h="15840"/>
          <w:pgMar w:top="1360" w:right="1220" w:bottom="960" w:left="1220" w:header="720" w:footer="765" w:gutter="0"/>
          <w:cols w:space="720"/>
        </w:sectPr>
      </w:pPr>
    </w:p>
    <w:p w14:paraId="1054913D" w14:textId="06AD20BD" w:rsidR="008D3B7E" w:rsidRDefault="008D3B7E" w:rsidP="008D3B7E">
      <w:pPr>
        <w:pStyle w:val="BodyText"/>
        <w:spacing w:before="56"/>
        <w:ind w:left="220" w:right="249"/>
      </w:pPr>
      <w:r>
        <w:lastRenderedPageBreak/>
        <w:t>toxicities</w:t>
      </w:r>
      <w:r w:rsidR="00093C2C">
        <w:t>,</w:t>
      </w:r>
      <w:r>
        <w:t xml:space="preserve"> and responses (for non-externally reviewed trials) that have occurred on the protocol in the time frame specified. PSRs are reviewed at each DSTC meeting.</w:t>
      </w:r>
    </w:p>
    <w:p w14:paraId="17547B59" w14:textId="77777777" w:rsidR="008D3B7E" w:rsidRDefault="008D3B7E" w:rsidP="008D3B7E">
      <w:pPr>
        <w:pStyle w:val="BodyText"/>
      </w:pPr>
    </w:p>
    <w:p w14:paraId="1F0CC2ED" w14:textId="2D9AEF01" w:rsidR="008D3B7E" w:rsidRDefault="008D3B7E" w:rsidP="008D3B7E">
      <w:pPr>
        <w:pStyle w:val="BodyText"/>
        <w:ind w:left="220" w:right="248"/>
      </w:pPr>
      <w:r>
        <w:t>Protocol Summary Reports enable DSTC committee members to assess whether significant benefits or risks are occurring that would determine study continuation or closure. This information is also provided by the Patient Protocol Review Committee meeting minutes, internal audit</w:t>
      </w:r>
      <w:r w:rsidR="00093C2C">
        <w:t>,</w:t>
      </w:r>
      <w:r>
        <w:t xml:space="preserve"> and/or response review reports. </w:t>
      </w:r>
      <w:r w:rsidR="00093C2C">
        <w:t>Also</w:t>
      </w:r>
      <w:r>
        <w:t>, the DSTC requires the Patient Protocol Review Committee or protocol Study Chair to submit external DSMB reports or any other significant study-related information.</w:t>
      </w:r>
    </w:p>
    <w:p w14:paraId="479EBD69" w14:textId="77777777" w:rsidR="008D3B7E" w:rsidRDefault="008D3B7E" w:rsidP="008D3B7E">
      <w:pPr>
        <w:pStyle w:val="BodyText"/>
        <w:spacing w:before="1"/>
      </w:pPr>
    </w:p>
    <w:p w14:paraId="2FD551A4" w14:textId="77777777" w:rsidR="008D3B7E" w:rsidRDefault="008D3B7E" w:rsidP="008D3B7E">
      <w:pPr>
        <w:pStyle w:val="BodyText"/>
        <w:ind w:left="220" w:right="374"/>
      </w:pPr>
      <w:r>
        <w:t>If there is significant risk warranting study suspension or closure, the PRMC will notify the PI of the DSTC findings. The PRMC ensures that the PI reports any temporary or permanent suspension of a clinical trial to the sponsor (e.g., NCI Program Director, Industry Sponsor Medical Monitor, NCTN Chair, etc.) and other appropriate agencies.</w:t>
      </w:r>
    </w:p>
    <w:p w14:paraId="25A9DB05" w14:textId="77777777" w:rsidR="008D3B7E" w:rsidRDefault="008D3B7E" w:rsidP="008D3B7E">
      <w:pPr>
        <w:pStyle w:val="BodyText"/>
        <w:rPr>
          <w:sz w:val="26"/>
        </w:rPr>
      </w:pPr>
    </w:p>
    <w:p w14:paraId="00440B83" w14:textId="77777777" w:rsidR="008D3B7E" w:rsidRDefault="008D3B7E" w:rsidP="008D3B7E">
      <w:pPr>
        <w:pStyle w:val="BodyText"/>
        <w:spacing w:before="11"/>
        <w:rPr>
          <w:sz w:val="29"/>
        </w:rPr>
      </w:pPr>
    </w:p>
    <w:p w14:paraId="4D7A5903" w14:textId="30BEE0F3" w:rsidR="008D3B7E" w:rsidRPr="003333BB" w:rsidRDefault="008D3B7E" w:rsidP="008D3B7E">
      <w:pPr>
        <w:pStyle w:val="IRBHeadingA"/>
        <w:numPr>
          <w:ilvl w:val="0"/>
          <w:numId w:val="7"/>
        </w:numPr>
      </w:pPr>
      <w:bookmarkStart w:id="13" w:name="_bookmark12"/>
      <w:bookmarkEnd w:id="13"/>
      <w:r w:rsidRPr="003333BB">
        <w:t>Quality</w:t>
      </w:r>
      <w:r w:rsidRPr="003333BB">
        <w:rPr>
          <w:spacing w:val="4"/>
        </w:rPr>
        <w:t xml:space="preserve"> </w:t>
      </w:r>
      <w:r w:rsidRPr="003333BB">
        <w:t>Assurance</w:t>
      </w:r>
    </w:p>
    <w:p w14:paraId="69B59950" w14:textId="77777777" w:rsidR="008D3B7E" w:rsidRDefault="008D3B7E" w:rsidP="008D3B7E">
      <w:pPr>
        <w:pStyle w:val="BodyText"/>
        <w:rPr>
          <w:b/>
          <w:sz w:val="30"/>
        </w:rPr>
      </w:pPr>
    </w:p>
    <w:p w14:paraId="76C77663" w14:textId="2BCFCA36" w:rsidR="008D3B7E" w:rsidRDefault="008D3B7E" w:rsidP="008D3B7E">
      <w:pPr>
        <w:pStyle w:val="BodyText"/>
        <w:spacing w:before="174"/>
        <w:ind w:left="220" w:right="309"/>
      </w:pPr>
      <w:r>
        <w:t>Quality assurance of clinical trials ensures that WVU maintains the same high quality of data collection and protocol compliance for all clinical trials, regardless of sponsor. All quality assurance activities will uphold the protection of the rights, safety, and the well-being of clinical trial participants.</w:t>
      </w:r>
    </w:p>
    <w:p w14:paraId="5D15BC7C" w14:textId="77777777" w:rsidR="008D3B7E" w:rsidRDefault="008D3B7E" w:rsidP="008D3B7E">
      <w:pPr>
        <w:pStyle w:val="BodyText"/>
        <w:spacing w:before="1"/>
      </w:pPr>
    </w:p>
    <w:p w14:paraId="25ECB917" w14:textId="3D505644" w:rsidR="008D3B7E" w:rsidRDefault="008D3B7E" w:rsidP="008D3B7E">
      <w:pPr>
        <w:pStyle w:val="BodyText"/>
        <w:ind w:left="220" w:right="336"/>
      </w:pPr>
      <w:r>
        <w:t>Routine reviews will serve as a mechanism of quality control for protocol compliance</w:t>
      </w:r>
      <w:r w:rsidR="00093C2C">
        <w:t>,</w:t>
      </w:r>
      <w:r>
        <w:t xml:space="preserve"> including adherence to the protocol, data collection, and regulatory documentation. Quality assurance audits are periodic reviews directed at the validity of the data reported for clinical trials. These reviews will ensure that all clinical trials are conducted </w:t>
      </w:r>
      <w:r w:rsidR="00151DEE">
        <w:t>per</w:t>
      </w:r>
      <w:r>
        <w:t xml:space="preserve"> Good Clinical Practice (GCP). All major protocol violations from internal and external Quality Assurance Audits are reviewed by the DSTC.</w:t>
      </w:r>
    </w:p>
    <w:p w14:paraId="05856B3F" w14:textId="77777777" w:rsidR="008D3B7E" w:rsidRDefault="008D3B7E" w:rsidP="008D3B7E">
      <w:pPr>
        <w:pStyle w:val="BodyText"/>
      </w:pPr>
    </w:p>
    <w:p w14:paraId="6A6FF2BA" w14:textId="6D274F9F" w:rsidR="008D3B7E" w:rsidRDefault="008D3B7E" w:rsidP="008D3B7E">
      <w:pPr>
        <w:pStyle w:val="BodyText"/>
        <w:ind w:left="220" w:right="448"/>
      </w:pPr>
      <w:r>
        <w:t xml:space="preserve">The QA Specialist serves as the lead auditor and notifies the PI and research staff of the audit and provides them with a case list at least two weeks </w:t>
      </w:r>
      <w:r w:rsidR="00151DEE">
        <w:t>before</w:t>
      </w:r>
      <w:r>
        <w:t xml:space="preserve"> the audit. Audit teams, consisting of a physician and </w:t>
      </w:r>
      <w:r w:rsidR="00151DEE">
        <w:t xml:space="preserve">a </w:t>
      </w:r>
      <w:r>
        <w:t>varying number of independent research support staff, may be recruited. In addition, the QA Specialist provides the audit team with audit materials for preparation in advance of the audit, coordinates the exit interview, and generates the final audit report.</w:t>
      </w:r>
    </w:p>
    <w:p w14:paraId="63BFB52A" w14:textId="77777777" w:rsidR="008D3B7E" w:rsidRDefault="008D3B7E" w:rsidP="008D3B7E">
      <w:pPr>
        <w:pStyle w:val="BodyText"/>
        <w:rPr>
          <w:sz w:val="26"/>
        </w:rPr>
      </w:pPr>
    </w:p>
    <w:p w14:paraId="4C96062A" w14:textId="77777777" w:rsidR="008D3B7E" w:rsidRDefault="008D3B7E" w:rsidP="008D3B7E">
      <w:pPr>
        <w:pStyle w:val="Heading2"/>
        <w:numPr>
          <w:ilvl w:val="0"/>
          <w:numId w:val="1"/>
        </w:numPr>
        <w:tabs>
          <w:tab w:val="left" w:pos="940"/>
          <w:tab w:val="left" w:pos="941"/>
        </w:tabs>
        <w:spacing w:before="186"/>
        <w:ind w:hanging="721"/>
      </w:pPr>
      <w:bookmarkStart w:id="14" w:name="_bookmark13"/>
      <w:bookmarkEnd w:id="14"/>
      <w:r>
        <w:t>Quality Assurance</w:t>
      </w:r>
      <w:r>
        <w:rPr>
          <w:spacing w:val="3"/>
        </w:rPr>
        <w:t xml:space="preserve"> </w:t>
      </w:r>
      <w:r>
        <w:t>Audits</w:t>
      </w:r>
    </w:p>
    <w:p w14:paraId="32776767" w14:textId="77777777" w:rsidR="008D3B7E" w:rsidRDefault="008D3B7E" w:rsidP="008D3B7E">
      <w:pPr>
        <w:pStyle w:val="BodyText"/>
        <w:spacing w:before="4"/>
        <w:rPr>
          <w:b/>
        </w:rPr>
      </w:pPr>
    </w:p>
    <w:p w14:paraId="29C6B4B5" w14:textId="77777777" w:rsidR="008D3B7E" w:rsidRDefault="008D3B7E" w:rsidP="008D3B7E">
      <w:pPr>
        <w:pStyle w:val="ListParagraph"/>
        <w:numPr>
          <w:ilvl w:val="1"/>
          <w:numId w:val="1"/>
        </w:numPr>
        <w:tabs>
          <w:tab w:val="left" w:pos="1301"/>
        </w:tabs>
        <w:spacing w:before="0"/>
        <w:rPr>
          <w:b/>
          <w:sz w:val="24"/>
        </w:rPr>
      </w:pPr>
      <w:r>
        <w:rPr>
          <w:b/>
          <w:sz w:val="24"/>
        </w:rPr>
        <w:t>Non-Externally Reviewed Clinical Trials</w:t>
      </w:r>
    </w:p>
    <w:p w14:paraId="470F58DF" w14:textId="77777777" w:rsidR="008D3B7E" w:rsidRDefault="008D3B7E" w:rsidP="008D3B7E">
      <w:pPr>
        <w:pStyle w:val="BodyText"/>
        <w:spacing w:before="7"/>
        <w:rPr>
          <w:b/>
          <w:sz w:val="23"/>
        </w:rPr>
      </w:pPr>
    </w:p>
    <w:p w14:paraId="32D14A0A" w14:textId="77777777" w:rsidR="008D3B7E" w:rsidRDefault="008D3B7E" w:rsidP="008D3B7E">
      <w:pPr>
        <w:pStyle w:val="BodyText"/>
        <w:spacing w:before="1"/>
        <w:ind w:left="940" w:right="336"/>
      </w:pPr>
      <w:r>
        <w:t>Quality assurance audits for non-externally reviewed interventional clinical trials will be determined by the level of risk assigned to the study by the PRMC. All non-externally reviewed interventional clinical trials are subject to quality assurance audits.</w:t>
      </w:r>
    </w:p>
    <w:p w14:paraId="2212321C" w14:textId="77777777" w:rsidR="008D3B7E" w:rsidRDefault="008D3B7E" w:rsidP="008D3B7E">
      <w:pPr>
        <w:sectPr w:rsidR="008D3B7E">
          <w:pgSz w:w="12240" w:h="15840"/>
          <w:pgMar w:top="1360" w:right="1220" w:bottom="960" w:left="1220" w:header="720" w:footer="765" w:gutter="0"/>
          <w:cols w:space="720"/>
        </w:sectPr>
      </w:pPr>
    </w:p>
    <w:p w14:paraId="2F1912CC" w14:textId="77777777" w:rsidR="008D3B7E" w:rsidRDefault="008D3B7E" w:rsidP="008D3B7E">
      <w:pPr>
        <w:pStyle w:val="BodyText"/>
        <w:spacing w:before="1"/>
        <w:rPr>
          <w:sz w:val="21"/>
        </w:rPr>
      </w:pPr>
    </w:p>
    <w:p w14:paraId="6FF2DF8B" w14:textId="77777777" w:rsidR="008D3B7E" w:rsidRDefault="008D3B7E" w:rsidP="008D3B7E">
      <w:pPr>
        <w:pStyle w:val="BodyText"/>
        <w:spacing w:before="90"/>
        <w:ind w:left="220"/>
      </w:pPr>
      <w:r>
        <w:t>Recommended Quality Assurance Audit schedule:</w:t>
      </w:r>
    </w:p>
    <w:p w14:paraId="5376C39E" w14:textId="77777777" w:rsidR="008D3B7E" w:rsidRDefault="008D3B7E" w:rsidP="008D3B7E">
      <w:pPr>
        <w:pStyle w:val="BodyText"/>
        <w:spacing w:before="8"/>
      </w:pPr>
    </w:p>
    <w:tbl>
      <w:tblPr>
        <w:tblStyle w:val="TableGrid"/>
        <w:tblW w:w="0" w:type="auto"/>
        <w:tblLayout w:type="fixed"/>
        <w:tblLook w:val="01E0" w:firstRow="1" w:lastRow="1" w:firstColumn="1" w:lastColumn="1" w:noHBand="0" w:noVBand="0"/>
      </w:tblPr>
      <w:tblGrid>
        <w:gridCol w:w="2397"/>
        <w:gridCol w:w="2393"/>
        <w:gridCol w:w="2397"/>
        <w:gridCol w:w="2393"/>
      </w:tblGrid>
      <w:tr w:rsidR="008D3B7E" w14:paraId="3305E62A" w14:textId="77777777" w:rsidTr="008D3B7E">
        <w:trPr>
          <w:trHeight w:val="273"/>
        </w:trPr>
        <w:tc>
          <w:tcPr>
            <w:tcW w:w="2397" w:type="dxa"/>
          </w:tcPr>
          <w:p w14:paraId="0E3B6270" w14:textId="77777777" w:rsidR="008D3B7E" w:rsidRDefault="008D3B7E" w:rsidP="004E66CB">
            <w:pPr>
              <w:pStyle w:val="TableParagraph"/>
              <w:spacing w:line="254" w:lineRule="exact"/>
              <w:ind w:left="503"/>
              <w:rPr>
                <w:sz w:val="24"/>
              </w:rPr>
            </w:pPr>
            <w:r>
              <w:rPr>
                <w:sz w:val="24"/>
              </w:rPr>
              <w:t>Risk Category</w:t>
            </w:r>
          </w:p>
        </w:tc>
        <w:tc>
          <w:tcPr>
            <w:tcW w:w="2393" w:type="dxa"/>
          </w:tcPr>
          <w:p w14:paraId="173C1498" w14:textId="77777777" w:rsidR="008D3B7E" w:rsidRDefault="008D3B7E" w:rsidP="004E66CB">
            <w:pPr>
              <w:pStyle w:val="TableParagraph"/>
              <w:spacing w:line="254" w:lineRule="exact"/>
              <w:ind w:left="447"/>
              <w:rPr>
                <w:sz w:val="24"/>
              </w:rPr>
            </w:pPr>
            <w:r>
              <w:rPr>
                <w:sz w:val="24"/>
              </w:rPr>
              <w:t>Audit Schedule</w:t>
            </w:r>
          </w:p>
        </w:tc>
        <w:tc>
          <w:tcPr>
            <w:tcW w:w="2397" w:type="dxa"/>
          </w:tcPr>
          <w:p w14:paraId="76EEBDA4" w14:textId="77777777" w:rsidR="008D3B7E" w:rsidRDefault="008D3B7E" w:rsidP="004E66CB">
            <w:pPr>
              <w:pStyle w:val="TableParagraph"/>
              <w:spacing w:line="254" w:lineRule="exact"/>
              <w:ind w:left="750"/>
              <w:rPr>
                <w:sz w:val="24"/>
              </w:rPr>
            </w:pPr>
            <w:r>
              <w:rPr>
                <w:sz w:val="24"/>
              </w:rPr>
              <w:t>% Charts</w:t>
            </w:r>
          </w:p>
        </w:tc>
        <w:tc>
          <w:tcPr>
            <w:tcW w:w="2393" w:type="dxa"/>
          </w:tcPr>
          <w:p w14:paraId="3FEE4626" w14:textId="77777777" w:rsidR="008D3B7E" w:rsidRDefault="008D3B7E" w:rsidP="001E4B19">
            <w:pPr>
              <w:pStyle w:val="TableParagraph"/>
              <w:spacing w:line="254" w:lineRule="exact"/>
              <w:ind w:right="900"/>
              <w:rPr>
                <w:sz w:val="24"/>
              </w:rPr>
            </w:pPr>
            <w:r>
              <w:rPr>
                <w:sz w:val="24"/>
              </w:rPr>
              <w:t>Other</w:t>
            </w:r>
          </w:p>
        </w:tc>
      </w:tr>
      <w:tr w:rsidR="008D3B7E" w14:paraId="6511B2AC" w14:textId="77777777" w:rsidTr="008D3B7E">
        <w:trPr>
          <w:trHeight w:val="830"/>
        </w:trPr>
        <w:tc>
          <w:tcPr>
            <w:tcW w:w="2397" w:type="dxa"/>
          </w:tcPr>
          <w:p w14:paraId="045BA23E" w14:textId="77777777" w:rsidR="008D3B7E" w:rsidRDefault="008D3B7E" w:rsidP="004E66CB">
            <w:pPr>
              <w:pStyle w:val="TableParagraph"/>
              <w:ind w:left="107"/>
              <w:rPr>
                <w:sz w:val="24"/>
              </w:rPr>
            </w:pPr>
            <w:r>
              <w:rPr>
                <w:sz w:val="24"/>
              </w:rPr>
              <w:t>High</w:t>
            </w:r>
          </w:p>
        </w:tc>
        <w:tc>
          <w:tcPr>
            <w:tcW w:w="2393" w:type="dxa"/>
          </w:tcPr>
          <w:p w14:paraId="4A6BD4DA" w14:textId="77777777" w:rsidR="008D3B7E" w:rsidRDefault="008D3B7E" w:rsidP="004E66CB">
            <w:pPr>
              <w:pStyle w:val="TableParagraph"/>
              <w:rPr>
                <w:sz w:val="24"/>
              </w:rPr>
            </w:pPr>
            <w:r>
              <w:rPr>
                <w:sz w:val="24"/>
              </w:rPr>
              <w:t>After 1</w:t>
            </w:r>
            <w:proofErr w:type="spellStart"/>
            <w:r>
              <w:rPr>
                <w:position w:val="9"/>
                <w:sz w:val="16"/>
              </w:rPr>
              <w:t>st</w:t>
            </w:r>
            <w:proofErr w:type="spellEnd"/>
            <w:r>
              <w:rPr>
                <w:position w:val="9"/>
                <w:sz w:val="16"/>
              </w:rPr>
              <w:t xml:space="preserve"> </w:t>
            </w:r>
            <w:r>
              <w:rPr>
                <w:sz w:val="24"/>
              </w:rPr>
              <w:t>patient and</w:t>
            </w:r>
          </w:p>
          <w:p w14:paraId="25D18F1B" w14:textId="77777777" w:rsidR="008D3B7E" w:rsidRDefault="008D3B7E" w:rsidP="004E66CB">
            <w:pPr>
              <w:pStyle w:val="TableParagraph"/>
              <w:spacing w:line="240" w:lineRule="auto"/>
              <w:rPr>
                <w:sz w:val="24"/>
              </w:rPr>
            </w:pPr>
            <w:r>
              <w:rPr>
                <w:sz w:val="24"/>
              </w:rPr>
              <w:t>every 6 months</w:t>
            </w:r>
          </w:p>
        </w:tc>
        <w:tc>
          <w:tcPr>
            <w:tcW w:w="2397" w:type="dxa"/>
          </w:tcPr>
          <w:p w14:paraId="736BC577" w14:textId="77777777" w:rsidR="008D3B7E" w:rsidRDefault="008D3B7E" w:rsidP="004E66CB">
            <w:pPr>
              <w:pStyle w:val="TableParagraph"/>
              <w:ind w:left="106"/>
              <w:rPr>
                <w:sz w:val="24"/>
              </w:rPr>
            </w:pPr>
            <w:r>
              <w:rPr>
                <w:sz w:val="24"/>
              </w:rPr>
              <w:t>30% if &gt; 12 cases</w:t>
            </w:r>
          </w:p>
        </w:tc>
        <w:tc>
          <w:tcPr>
            <w:tcW w:w="2393" w:type="dxa"/>
          </w:tcPr>
          <w:p w14:paraId="08834B16" w14:textId="77777777" w:rsidR="008D3B7E" w:rsidRDefault="008D3B7E" w:rsidP="004E66CB">
            <w:pPr>
              <w:pStyle w:val="TableParagraph"/>
              <w:spacing w:line="240" w:lineRule="auto"/>
              <w:ind w:right="234"/>
              <w:rPr>
                <w:sz w:val="24"/>
              </w:rPr>
            </w:pPr>
            <w:r>
              <w:rPr>
                <w:sz w:val="24"/>
              </w:rPr>
              <w:t>50% of cases 2-12 or all cases if &lt; 6 cases</w:t>
            </w:r>
          </w:p>
          <w:p w14:paraId="2FE4515A" w14:textId="77777777" w:rsidR="008D3B7E" w:rsidRDefault="008D3B7E" w:rsidP="004E66CB">
            <w:pPr>
              <w:pStyle w:val="TableParagraph"/>
              <w:spacing w:line="263" w:lineRule="exact"/>
              <w:rPr>
                <w:sz w:val="24"/>
              </w:rPr>
            </w:pPr>
            <w:r>
              <w:rPr>
                <w:sz w:val="24"/>
              </w:rPr>
              <w:t>at one year</w:t>
            </w:r>
          </w:p>
        </w:tc>
      </w:tr>
      <w:tr w:rsidR="008D3B7E" w14:paraId="7CA4F7C2" w14:textId="77777777" w:rsidTr="008D3B7E">
        <w:trPr>
          <w:trHeight w:val="550"/>
        </w:trPr>
        <w:tc>
          <w:tcPr>
            <w:tcW w:w="2397" w:type="dxa"/>
          </w:tcPr>
          <w:p w14:paraId="73006D89" w14:textId="77777777" w:rsidR="008D3B7E" w:rsidRDefault="008D3B7E" w:rsidP="004E66CB">
            <w:pPr>
              <w:pStyle w:val="TableParagraph"/>
              <w:spacing w:line="267" w:lineRule="exact"/>
              <w:ind w:left="107"/>
              <w:rPr>
                <w:sz w:val="24"/>
              </w:rPr>
            </w:pPr>
            <w:r>
              <w:rPr>
                <w:sz w:val="24"/>
              </w:rPr>
              <w:t>Moderate</w:t>
            </w:r>
          </w:p>
        </w:tc>
        <w:tc>
          <w:tcPr>
            <w:tcW w:w="2393" w:type="dxa"/>
          </w:tcPr>
          <w:p w14:paraId="7277270A" w14:textId="77777777" w:rsidR="008D3B7E" w:rsidRDefault="008D3B7E" w:rsidP="004E66CB">
            <w:pPr>
              <w:pStyle w:val="TableParagraph"/>
              <w:spacing w:line="267" w:lineRule="exact"/>
              <w:rPr>
                <w:sz w:val="24"/>
              </w:rPr>
            </w:pPr>
            <w:r>
              <w:rPr>
                <w:sz w:val="24"/>
              </w:rPr>
              <w:t>Annually</w:t>
            </w:r>
          </w:p>
        </w:tc>
        <w:tc>
          <w:tcPr>
            <w:tcW w:w="2397" w:type="dxa"/>
          </w:tcPr>
          <w:p w14:paraId="602197A7" w14:textId="77777777" w:rsidR="008D3B7E" w:rsidRDefault="008D3B7E" w:rsidP="004E66CB">
            <w:pPr>
              <w:pStyle w:val="TableParagraph"/>
              <w:spacing w:line="267" w:lineRule="exact"/>
              <w:ind w:left="106"/>
              <w:rPr>
                <w:sz w:val="24"/>
              </w:rPr>
            </w:pPr>
            <w:r>
              <w:rPr>
                <w:sz w:val="24"/>
              </w:rPr>
              <w:t>20%</w:t>
            </w:r>
          </w:p>
        </w:tc>
        <w:tc>
          <w:tcPr>
            <w:tcW w:w="2393" w:type="dxa"/>
          </w:tcPr>
          <w:p w14:paraId="03C3C69A" w14:textId="77777777" w:rsidR="008D3B7E" w:rsidRDefault="008D3B7E" w:rsidP="004E66CB">
            <w:pPr>
              <w:pStyle w:val="TableParagraph"/>
              <w:spacing w:line="267" w:lineRule="exact"/>
              <w:rPr>
                <w:sz w:val="24"/>
              </w:rPr>
            </w:pPr>
            <w:r>
              <w:rPr>
                <w:sz w:val="24"/>
              </w:rPr>
              <w:t>If &lt; 4 cases, audit all</w:t>
            </w:r>
          </w:p>
          <w:p w14:paraId="08A6A8C3" w14:textId="77777777" w:rsidR="008D3B7E" w:rsidRDefault="008D3B7E" w:rsidP="004E66CB">
            <w:pPr>
              <w:pStyle w:val="TableParagraph"/>
              <w:spacing w:line="263" w:lineRule="exact"/>
              <w:rPr>
                <w:sz w:val="24"/>
              </w:rPr>
            </w:pPr>
            <w:r>
              <w:rPr>
                <w:sz w:val="24"/>
              </w:rPr>
              <w:t>charts</w:t>
            </w:r>
          </w:p>
        </w:tc>
      </w:tr>
      <w:tr w:rsidR="008D3B7E" w14:paraId="76403B42" w14:textId="77777777" w:rsidTr="008D3B7E">
        <w:trPr>
          <w:trHeight w:val="550"/>
        </w:trPr>
        <w:tc>
          <w:tcPr>
            <w:tcW w:w="2397" w:type="dxa"/>
          </w:tcPr>
          <w:p w14:paraId="5FC1D326" w14:textId="77777777" w:rsidR="008D3B7E" w:rsidRDefault="008D3B7E" w:rsidP="004E66CB">
            <w:pPr>
              <w:pStyle w:val="TableParagraph"/>
              <w:ind w:left="107"/>
              <w:rPr>
                <w:sz w:val="24"/>
              </w:rPr>
            </w:pPr>
            <w:r>
              <w:rPr>
                <w:sz w:val="24"/>
              </w:rPr>
              <w:t>Low</w:t>
            </w:r>
          </w:p>
        </w:tc>
        <w:tc>
          <w:tcPr>
            <w:tcW w:w="2393" w:type="dxa"/>
          </w:tcPr>
          <w:p w14:paraId="29CE3472" w14:textId="77777777" w:rsidR="008D3B7E" w:rsidRDefault="008D3B7E" w:rsidP="004E66CB">
            <w:pPr>
              <w:pStyle w:val="TableParagraph"/>
              <w:rPr>
                <w:sz w:val="24"/>
              </w:rPr>
            </w:pPr>
            <w:r>
              <w:rPr>
                <w:sz w:val="24"/>
              </w:rPr>
              <w:t>≤ 3 years</w:t>
            </w:r>
          </w:p>
        </w:tc>
        <w:tc>
          <w:tcPr>
            <w:tcW w:w="2397" w:type="dxa"/>
          </w:tcPr>
          <w:p w14:paraId="66BEB282" w14:textId="77777777" w:rsidR="008D3B7E" w:rsidRDefault="008D3B7E" w:rsidP="004E66CB">
            <w:pPr>
              <w:pStyle w:val="TableParagraph"/>
              <w:ind w:left="106"/>
              <w:rPr>
                <w:sz w:val="24"/>
              </w:rPr>
            </w:pPr>
            <w:r>
              <w:rPr>
                <w:sz w:val="24"/>
              </w:rPr>
              <w:t>10%</w:t>
            </w:r>
          </w:p>
        </w:tc>
        <w:tc>
          <w:tcPr>
            <w:tcW w:w="2393" w:type="dxa"/>
          </w:tcPr>
          <w:p w14:paraId="3CD30ECD" w14:textId="77777777" w:rsidR="008D3B7E" w:rsidRDefault="008D3B7E" w:rsidP="004E66CB">
            <w:pPr>
              <w:pStyle w:val="TableParagraph"/>
              <w:rPr>
                <w:sz w:val="24"/>
              </w:rPr>
            </w:pPr>
            <w:r>
              <w:rPr>
                <w:sz w:val="24"/>
              </w:rPr>
              <w:t>If &lt; 10 cases audit all</w:t>
            </w:r>
          </w:p>
          <w:p w14:paraId="07EBA5B1" w14:textId="77777777" w:rsidR="008D3B7E" w:rsidRDefault="008D3B7E" w:rsidP="004E66CB">
            <w:pPr>
              <w:pStyle w:val="TableParagraph"/>
              <w:spacing w:line="259" w:lineRule="exact"/>
              <w:rPr>
                <w:sz w:val="24"/>
              </w:rPr>
            </w:pPr>
            <w:r>
              <w:rPr>
                <w:sz w:val="24"/>
              </w:rPr>
              <w:t>charts</w:t>
            </w:r>
          </w:p>
        </w:tc>
      </w:tr>
    </w:tbl>
    <w:p w14:paraId="192E4984" w14:textId="77777777" w:rsidR="008D3B7E" w:rsidRDefault="008D3B7E" w:rsidP="008D3B7E">
      <w:pPr>
        <w:pStyle w:val="BodyText"/>
        <w:rPr>
          <w:sz w:val="26"/>
        </w:rPr>
      </w:pPr>
    </w:p>
    <w:p w14:paraId="1FC70E38" w14:textId="77777777" w:rsidR="008D3B7E" w:rsidRDefault="008D3B7E" w:rsidP="008D3B7E">
      <w:pPr>
        <w:pStyle w:val="BodyText"/>
        <w:spacing w:before="7"/>
        <w:rPr>
          <w:sz w:val="21"/>
        </w:rPr>
      </w:pPr>
    </w:p>
    <w:p w14:paraId="327935D7" w14:textId="022D9B62" w:rsidR="008D3B7E" w:rsidRDefault="008D3B7E" w:rsidP="008D3B7E">
      <w:pPr>
        <w:pStyle w:val="BodyText"/>
        <w:spacing w:before="1"/>
        <w:ind w:left="940" w:right="368"/>
      </w:pPr>
      <w:r>
        <w:t xml:space="preserve">These audits will include (but are not limited to) the review of the informed consent process, eligibility confirmation, adherence to protocol procedures and treatment plans, pharmacy records and storage, and regulatory documentation. Data from WVU clinical trial quality assurance activities will be reviewed periodically to estimate the predictive probability of violations using a statistical model to determine if modification of the QA audit schedule(s) </w:t>
      </w:r>
      <w:r w:rsidR="006E61E5">
        <w:t>is</w:t>
      </w:r>
      <w:r>
        <w:t xml:space="preserve"> warranted.</w:t>
      </w:r>
    </w:p>
    <w:p w14:paraId="6F13351F" w14:textId="77777777" w:rsidR="008D3B7E" w:rsidRDefault="008D3B7E" w:rsidP="008D3B7E">
      <w:pPr>
        <w:pStyle w:val="BodyText"/>
      </w:pPr>
    </w:p>
    <w:p w14:paraId="4EE9D30F" w14:textId="2AAEA6EA" w:rsidR="008D3B7E" w:rsidRDefault="008D3B7E" w:rsidP="008D3B7E">
      <w:pPr>
        <w:pStyle w:val="BodyText"/>
        <w:ind w:left="940"/>
      </w:pPr>
      <w:r>
        <w:t>The QA Specialist must report any major protocol violations immediately to the DSTC</w:t>
      </w:r>
      <w:r w:rsidR="006E61E5">
        <w:t>,</w:t>
      </w:r>
      <w:r>
        <w:t xml:space="preserve"> which can suspend study enrollment to protect the safety of trial patients.</w:t>
      </w:r>
    </w:p>
    <w:p w14:paraId="7B52B665" w14:textId="77777777" w:rsidR="008D3B7E" w:rsidRDefault="008D3B7E" w:rsidP="008D3B7E">
      <w:pPr>
        <w:pStyle w:val="BodyText"/>
      </w:pPr>
    </w:p>
    <w:p w14:paraId="2F2C39A1" w14:textId="09462E37" w:rsidR="008D3B7E" w:rsidRDefault="008D3B7E" w:rsidP="008D3B7E">
      <w:pPr>
        <w:pStyle w:val="BodyText"/>
        <w:ind w:left="940" w:right="275"/>
      </w:pPr>
      <w:r>
        <w:t>The DSTC is notified of the audit findings and will communicate the need for a Corrective Action Plan (CAP) within 30 days to the PI if warranted. Proposed corrective action plans will be reviewed by the DSTC and any further recommendations for corrective action will be submitted to the PRMC. The PRMC will communicate additional requirements to the Principal Investigator. Appeals to the findings or plan of action must be submitted to the CTWG for final review and decision.</w:t>
      </w:r>
    </w:p>
    <w:p w14:paraId="4EAB8F8F" w14:textId="77777777" w:rsidR="008D3B7E" w:rsidRDefault="008D3B7E" w:rsidP="008D3B7E">
      <w:pPr>
        <w:pStyle w:val="BodyText"/>
        <w:spacing w:before="1"/>
      </w:pPr>
    </w:p>
    <w:p w14:paraId="26AF3206" w14:textId="77777777" w:rsidR="008D3B7E" w:rsidRDefault="008D3B7E" w:rsidP="008D3B7E">
      <w:pPr>
        <w:pStyle w:val="BodyText"/>
        <w:ind w:left="940" w:right="435"/>
      </w:pPr>
      <w:r>
        <w:t>Significant findings that involve risks to participants will be reported immediately to the WVU IRB. The PI is responsible for reporting all other findings at least annually with the IRB continuing review, or sooner as required per IRB policies for deviations and unanticipated problems.</w:t>
      </w:r>
    </w:p>
    <w:p w14:paraId="2A1ED830" w14:textId="77777777" w:rsidR="008D3B7E" w:rsidRDefault="008D3B7E" w:rsidP="008D3B7E">
      <w:pPr>
        <w:pStyle w:val="BodyText"/>
        <w:spacing w:before="4"/>
      </w:pPr>
    </w:p>
    <w:p w14:paraId="7C587244" w14:textId="77777777" w:rsidR="008D3B7E" w:rsidRDefault="008D3B7E" w:rsidP="008D3B7E">
      <w:pPr>
        <w:pStyle w:val="ListParagraph"/>
        <w:numPr>
          <w:ilvl w:val="1"/>
          <w:numId w:val="1"/>
        </w:numPr>
        <w:tabs>
          <w:tab w:val="left" w:pos="1301"/>
        </w:tabs>
        <w:spacing w:before="0"/>
        <w:rPr>
          <w:b/>
          <w:sz w:val="24"/>
        </w:rPr>
      </w:pPr>
      <w:r>
        <w:rPr>
          <w:b/>
          <w:sz w:val="24"/>
        </w:rPr>
        <w:t>NCTN Clinical</w:t>
      </w:r>
      <w:r>
        <w:rPr>
          <w:b/>
          <w:spacing w:val="-3"/>
          <w:sz w:val="24"/>
        </w:rPr>
        <w:t xml:space="preserve"> </w:t>
      </w:r>
      <w:r>
        <w:rPr>
          <w:b/>
          <w:sz w:val="24"/>
        </w:rPr>
        <w:t>Trials</w:t>
      </w:r>
    </w:p>
    <w:p w14:paraId="682489D2" w14:textId="77777777" w:rsidR="008D3B7E" w:rsidRDefault="008D3B7E" w:rsidP="008D3B7E">
      <w:pPr>
        <w:pStyle w:val="BodyText"/>
        <w:spacing w:before="8"/>
        <w:rPr>
          <w:b/>
          <w:sz w:val="23"/>
        </w:rPr>
      </w:pPr>
    </w:p>
    <w:p w14:paraId="5CC82583" w14:textId="646797DF" w:rsidR="008D3B7E" w:rsidRDefault="008D3B7E" w:rsidP="008D3B7E">
      <w:pPr>
        <w:pStyle w:val="BodyText"/>
        <w:ind w:left="940" w:right="262"/>
      </w:pPr>
      <w:r>
        <w:t>NCTN clinical trials conducted at WVU are subject to the external auditing policies of the respective groups, which routinely audit sites on a three-year audit cycle. These external audits must be reported to and reviewed by the WVU Office of Research Integrity and Compliance, WVU Internal Audit, the DSTC and subsequently the PRMC.</w:t>
      </w:r>
    </w:p>
    <w:p w14:paraId="055405D5" w14:textId="77777777" w:rsidR="008D3B7E" w:rsidRDefault="008D3B7E" w:rsidP="008D3B7E">
      <w:pPr>
        <w:pStyle w:val="BodyText"/>
      </w:pPr>
    </w:p>
    <w:p w14:paraId="03707DCC" w14:textId="753A2013" w:rsidR="008D3B7E" w:rsidRDefault="008D3B7E" w:rsidP="008D3B7E">
      <w:pPr>
        <w:pStyle w:val="BodyText"/>
        <w:ind w:left="940" w:right="595"/>
      </w:pPr>
      <w:r>
        <w:t>NCTN trials are also subject to internal Quality Assurance audits that examine a percentage of active trials for each Disease Team at least annually. A goal of 10% of cases is given as a general guideline but will be tailored to the specifics of each study</w:t>
      </w:r>
    </w:p>
    <w:p w14:paraId="0D969E2E" w14:textId="77777777" w:rsidR="008D3B7E" w:rsidRDefault="008D3B7E" w:rsidP="008D3B7E">
      <w:pPr>
        <w:sectPr w:rsidR="008D3B7E">
          <w:pgSz w:w="12240" w:h="15840"/>
          <w:pgMar w:top="1360" w:right="1220" w:bottom="960" w:left="1220" w:header="720" w:footer="765" w:gutter="0"/>
          <w:cols w:space="720"/>
        </w:sectPr>
      </w:pPr>
    </w:p>
    <w:p w14:paraId="663EFE7C" w14:textId="51ED5F7A" w:rsidR="008D3B7E" w:rsidRDefault="008D3B7E" w:rsidP="008D3B7E">
      <w:pPr>
        <w:pStyle w:val="BodyText"/>
        <w:spacing w:before="56"/>
        <w:ind w:left="940"/>
      </w:pPr>
      <w:r>
        <w:lastRenderedPageBreak/>
        <w:t xml:space="preserve">(i.e., level of experience of the investigator or enrolling clinical research coordinator, </w:t>
      </w:r>
      <w:r w:rsidR="006E61E5">
        <w:t xml:space="preserve">the </w:t>
      </w:r>
      <w:r>
        <w:t>complexity of the protocol, etc.)</w:t>
      </w:r>
    </w:p>
    <w:p w14:paraId="19B5C898" w14:textId="77777777" w:rsidR="008D3B7E" w:rsidRDefault="008D3B7E" w:rsidP="008D3B7E">
      <w:pPr>
        <w:pStyle w:val="BodyText"/>
      </w:pPr>
    </w:p>
    <w:p w14:paraId="6DDD381F" w14:textId="77777777" w:rsidR="008D3B7E" w:rsidRDefault="008D3B7E" w:rsidP="008D3B7E">
      <w:pPr>
        <w:pStyle w:val="BodyText"/>
        <w:ind w:left="940" w:right="435"/>
      </w:pPr>
      <w:r>
        <w:t>These audits will include (but are not limited to) the review of the informed consent process, eligibility confirmation, adherence to protocol procedures and treatment plans, pharmacy records and storage, and regulatory documentation.</w:t>
      </w:r>
    </w:p>
    <w:p w14:paraId="5ABEF359" w14:textId="77777777" w:rsidR="008D3B7E" w:rsidRDefault="008D3B7E" w:rsidP="008D3B7E">
      <w:pPr>
        <w:pStyle w:val="BodyText"/>
        <w:spacing w:before="1"/>
      </w:pPr>
    </w:p>
    <w:p w14:paraId="6A8A815C" w14:textId="1A74BECA" w:rsidR="008D3B7E" w:rsidRDefault="008D3B7E" w:rsidP="008D3B7E">
      <w:pPr>
        <w:pStyle w:val="BodyText"/>
        <w:ind w:left="940"/>
      </w:pPr>
      <w:r>
        <w:t>The QA Specialist must report any major protocol violations immediately to the DSTC</w:t>
      </w:r>
      <w:r w:rsidR="006E61E5">
        <w:t>,</w:t>
      </w:r>
      <w:r>
        <w:t xml:space="preserve"> which can suspend study enrollment to protect the safety of trial patients.</w:t>
      </w:r>
    </w:p>
    <w:p w14:paraId="5E919311" w14:textId="77777777" w:rsidR="008D3B7E" w:rsidRDefault="008D3B7E" w:rsidP="008D3B7E">
      <w:pPr>
        <w:pStyle w:val="BodyText"/>
      </w:pPr>
    </w:p>
    <w:p w14:paraId="11C3DB8E" w14:textId="0BC7FB57" w:rsidR="008D3B7E" w:rsidRDefault="008D3B7E" w:rsidP="008D3B7E">
      <w:pPr>
        <w:pStyle w:val="BodyText"/>
        <w:ind w:left="940" w:right="243"/>
      </w:pPr>
      <w:r>
        <w:t>The DSTC is notified of the audit findings and will communicate the need for a Corrective Action Plan (CAP) within 30 days to the PI if warranted. Proposed corrective action plans will be reviewed by the DSTC and further recommendations for corrective action will be submitted to the PRMC. The PRMC will communicate additional requirements to the Principal Investigator. Appeals to the findings or plan of action must be submitted to the CTWG for final review and decision.</w:t>
      </w:r>
    </w:p>
    <w:p w14:paraId="21CA8B0A" w14:textId="77777777" w:rsidR="008D3B7E" w:rsidRDefault="008D3B7E" w:rsidP="008D3B7E">
      <w:pPr>
        <w:pStyle w:val="BodyText"/>
      </w:pPr>
    </w:p>
    <w:p w14:paraId="7244B7CD" w14:textId="77777777" w:rsidR="008D3B7E" w:rsidRDefault="008D3B7E" w:rsidP="008D3B7E">
      <w:pPr>
        <w:pStyle w:val="BodyText"/>
        <w:spacing w:before="1"/>
        <w:ind w:left="1032" w:right="435"/>
      </w:pPr>
      <w:r>
        <w:t>Significant findings that involve risks to participants will be reported immediately to the WVU IRB. The PI is responsible for reporting all other findings at least annually with the IRB continuing review, or sooner as required per IRB policies for deviations and unanticipated problems.</w:t>
      </w:r>
    </w:p>
    <w:p w14:paraId="514C2404" w14:textId="77777777" w:rsidR="008D3B7E" w:rsidRDefault="008D3B7E" w:rsidP="008D3B7E">
      <w:pPr>
        <w:pStyle w:val="BodyText"/>
        <w:spacing w:before="4"/>
      </w:pPr>
    </w:p>
    <w:p w14:paraId="710E80B2" w14:textId="77777777" w:rsidR="008D3B7E" w:rsidRDefault="008D3B7E" w:rsidP="008D3B7E">
      <w:pPr>
        <w:pStyle w:val="ListParagraph"/>
        <w:numPr>
          <w:ilvl w:val="1"/>
          <w:numId w:val="1"/>
        </w:numPr>
        <w:tabs>
          <w:tab w:val="left" w:pos="1301"/>
        </w:tabs>
        <w:spacing w:before="0"/>
        <w:rPr>
          <w:b/>
          <w:sz w:val="24"/>
        </w:rPr>
      </w:pPr>
      <w:r>
        <w:rPr>
          <w:b/>
          <w:sz w:val="24"/>
        </w:rPr>
        <w:t>Industry-sponsored Clinical</w:t>
      </w:r>
      <w:r>
        <w:rPr>
          <w:b/>
          <w:spacing w:val="-3"/>
          <w:sz w:val="24"/>
        </w:rPr>
        <w:t xml:space="preserve"> </w:t>
      </w:r>
      <w:r>
        <w:rPr>
          <w:b/>
          <w:sz w:val="24"/>
        </w:rPr>
        <w:t>Trials</w:t>
      </w:r>
    </w:p>
    <w:p w14:paraId="546C254C" w14:textId="77777777" w:rsidR="008D3B7E" w:rsidRDefault="008D3B7E" w:rsidP="008D3B7E">
      <w:pPr>
        <w:pStyle w:val="BodyText"/>
        <w:spacing w:before="8"/>
        <w:rPr>
          <w:b/>
          <w:sz w:val="23"/>
        </w:rPr>
      </w:pPr>
    </w:p>
    <w:p w14:paraId="53DFBF88" w14:textId="1201F5AD" w:rsidR="008D3B7E" w:rsidRDefault="008D3B7E" w:rsidP="008D3B7E">
      <w:pPr>
        <w:pStyle w:val="BodyText"/>
        <w:ind w:left="940" w:right="215"/>
      </w:pPr>
      <w:r>
        <w:t xml:space="preserve">Industry-sponsored clinical trials conducted at WVU are subject to the external auditing or routine monitoring policies of the study sponsor or Clinical Research Organization (CRO). These studies are also subject to internal Quality Assurance audits that examine a percentage of active trials for each Disease Team, as determined by the PRMC. The resulting corrective actions from external quality assurance audits must be reported to and are reviewed by the WVU Office of </w:t>
      </w:r>
      <w:r w:rsidR="384FA450">
        <w:t>Human Research Protections</w:t>
      </w:r>
      <w:r>
        <w:t>, WVU Internal Audit, and the DSTC and subsequently the PRMC.</w:t>
      </w:r>
    </w:p>
    <w:p w14:paraId="49C3A5F6" w14:textId="77777777" w:rsidR="008D3B7E" w:rsidRDefault="008D3B7E" w:rsidP="008D3B7E">
      <w:pPr>
        <w:pStyle w:val="BodyText"/>
        <w:spacing w:before="4"/>
      </w:pPr>
    </w:p>
    <w:p w14:paraId="71C2BB3C" w14:textId="77777777" w:rsidR="008D3B7E" w:rsidRDefault="008D3B7E" w:rsidP="008D3B7E">
      <w:pPr>
        <w:pStyle w:val="BodyText"/>
        <w:spacing w:line="276" w:lineRule="auto"/>
        <w:ind w:left="940" w:right="435"/>
      </w:pPr>
      <w:r>
        <w:t>Significant findings that involve risks to participants will be reported immediately to the WVU IRB. The PI is responsible for reporting all other findings at least annually with the IRB continuing review, or sooner as required per IRB policies for deviations and unanticipated problems.</w:t>
      </w:r>
    </w:p>
    <w:p w14:paraId="5695EA13" w14:textId="77777777" w:rsidR="008D3B7E" w:rsidRDefault="008D3B7E" w:rsidP="008D3B7E">
      <w:pPr>
        <w:pStyle w:val="BodyText"/>
        <w:rPr>
          <w:sz w:val="26"/>
        </w:rPr>
      </w:pPr>
    </w:p>
    <w:p w14:paraId="5041CFB7" w14:textId="77777777" w:rsidR="008D3B7E" w:rsidRDefault="008D3B7E" w:rsidP="008D3B7E">
      <w:pPr>
        <w:pStyle w:val="Heading2"/>
        <w:numPr>
          <w:ilvl w:val="0"/>
          <w:numId w:val="1"/>
        </w:numPr>
        <w:tabs>
          <w:tab w:val="left" w:pos="940"/>
          <w:tab w:val="left" w:pos="941"/>
        </w:tabs>
        <w:spacing w:before="180"/>
        <w:ind w:hanging="721"/>
      </w:pPr>
      <w:bookmarkStart w:id="15" w:name="_bookmark14"/>
      <w:bookmarkEnd w:id="15"/>
      <w:r>
        <w:t>Response Review</w:t>
      </w:r>
    </w:p>
    <w:p w14:paraId="07CA8024" w14:textId="77777777" w:rsidR="008D3B7E" w:rsidRDefault="008D3B7E" w:rsidP="008D3B7E">
      <w:pPr>
        <w:pStyle w:val="BodyText"/>
        <w:rPr>
          <w:b/>
        </w:rPr>
      </w:pPr>
    </w:p>
    <w:p w14:paraId="7EA2A4B0" w14:textId="77777777" w:rsidR="008D3B7E" w:rsidRDefault="008D3B7E" w:rsidP="008D3B7E">
      <w:pPr>
        <w:pStyle w:val="BodyText"/>
        <w:ind w:left="220" w:right="262"/>
      </w:pPr>
      <w:r>
        <w:t>This independent response confirmation complements the Quality Assurance Review procedures at WVU. A Response Review (RR) may be performed on confirmed partial responses (PR) or complete responses (CR) on any therapeutic clinical trial, regardless of sponsor.</w:t>
      </w:r>
    </w:p>
    <w:p w14:paraId="4094FC4F" w14:textId="54CF6BE2" w:rsidR="008D3B7E" w:rsidRDefault="008D3B7E" w:rsidP="008D3B7E">
      <w:pPr>
        <w:pStyle w:val="BodyText"/>
        <w:spacing w:before="3" w:line="237" w:lineRule="auto"/>
        <w:ind w:left="220" w:right="329"/>
      </w:pPr>
      <w:r>
        <w:t xml:space="preserve">Response Reviews are mandatory for studies without an external data and safety monitoring entity. </w:t>
      </w:r>
      <w:r w:rsidR="00400BA3">
        <w:t>Quarterly</w:t>
      </w:r>
      <w:r>
        <w:t>, the QA Specialist solicits from the Disease Teams all participants cases in which a CR or a PR was recorded. The QA Specialist recruits physician reviewers with no</w:t>
      </w:r>
    </w:p>
    <w:p w14:paraId="2EA02CA8" w14:textId="77777777" w:rsidR="008D3B7E" w:rsidRDefault="008D3B7E" w:rsidP="008D3B7E">
      <w:pPr>
        <w:spacing w:line="237" w:lineRule="auto"/>
        <w:sectPr w:rsidR="008D3B7E">
          <w:pgSz w:w="12240" w:h="15840"/>
          <w:pgMar w:top="1360" w:right="1220" w:bottom="960" w:left="1220" w:header="720" w:footer="765" w:gutter="0"/>
          <w:cols w:space="720"/>
        </w:sectPr>
      </w:pPr>
      <w:r>
        <w:t>Participants.</w:t>
      </w:r>
    </w:p>
    <w:p w14:paraId="51DDE739" w14:textId="77F9AF8C" w:rsidR="008D3B7E" w:rsidRDefault="008D3B7E" w:rsidP="008D3B7E">
      <w:pPr>
        <w:pStyle w:val="BodyText"/>
        <w:spacing w:before="56"/>
        <w:ind w:left="220" w:right="435"/>
      </w:pPr>
      <w:r>
        <w:lastRenderedPageBreak/>
        <w:t>connection to the case under review obtains radiological films and any other necessary documents and schedules a location and time for the first response review to occur.</w:t>
      </w:r>
    </w:p>
    <w:p w14:paraId="48FC4668" w14:textId="77777777" w:rsidR="008D3B7E" w:rsidRDefault="008D3B7E" w:rsidP="008D3B7E">
      <w:pPr>
        <w:pStyle w:val="BodyText"/>
        <w:ind w:left="220" w:right="215"/>
      </w:pPr>
      <w:r>
        <w:t>Measurements and/or assessments made by the independent reviewer are documented on the Response Review form. The RR findings are reported to the DSTC. If the independent review does not concur with the reported response from the investigator, the treating physician is notified. If the treating physician does not accept the RR findings, he or she may request that a second response review be performed. If the PI wishes to appeal the second review finding, the appeal is brought to the CTWG. WVU Director has final authority in the appeal process.</w:t>
      </w:r>
    </w:p>
    <w:p w14:paraId="1125CF50" w14:textId="77777777" w:rsidR="008D3B7E" w:rsidRDefault="008D3B7E" w:rsidP="008D3B7E">
      <w:pPr>
        <w:pStyle w:val="BodyText"/>
        <w:rPr>
          <w:sz w:val="26"/>
        </w:rPr>
      </w:pPr>
    </w:p>
    <w:p w14:paraId="728EE722" w14:textId="77777777" w:rsidR="008D3B7E" w:rsidRDefault="008D3B7E" w:rsidP="008D3B7E">
      <w:pPr>
        <w:pStyle w:val="Heading2"/>
        <w:numPr>
          <w:ilvl w:val="0"/>
          <w:numId w:val="1"/>
        </w:numPr>
        <w:tabs>
          <w:tab w:val="left" w:pos="940"/>
          <w:tab w:val="left" w:pos="941"/>
        </w:tabs>
        <w:spacing w:before="171"/>
        <w:ind w:hanging="721"/>
      </w:pPr>
      <w:bookmarkStart w:id="16" w:name="_bookmark15"/>
      <w:bookmarkEnd w:id="16"/>
      <w:r>
        <w:t>Data Quality Control (</w:t>
      </w:r>
      <w:proofErr w:type="spellStart"/>
      <w:r>
        <w:t>OnCore</w:t>
      </w:r>
      <w:proofErr w:type="spellEnd"/>
      <w:r>
        <w:rPr>
          <w:position w:val="9"/>
          <w:sz w:val="16"/>
        </w:rPr>
        <w:t>®</w:t>
      </w:r>
      <w:r>
        <w:rPr>
          <w:spacing w:val="22"/>
          <w:position w:val="9"/>
          <w:sz w:val="16"/>
        </w:rPr>
        <w:t xml:space="preserve"> </w:t>
      </w:r>
      <w:r>
        <w:t>Database)</w:t>
      </w:r>
    </w:p>
    <w:p w14:paraId="6F45F098" w14:textId="77777777" w:rsidR="008D3B7E" w:rsidRDefault="008D3B7E" w:rsidP="008D3B7E">
      <w:pPr>
        <w:pStyle w:val="BodyText"/>
        <w:spacing w:before="3"/>
        <w:rPr>
          <w:b/>
          <w:sz w:val="22"/>
        </w:rPr>
      </w:pPr>
    </w:p>
    <w:p w14:paraId="692BF120" w14:textId="77777777" w:rsidR="008D3B7E" w:rsidRDefault="008D3B7E" w:rsidP="008D3B7E">
      <w:pPr>
        <w:pStyle w:val="BodyText"/>
        <w:ind w:left="220" w:right="215"/>
      </w:pPr>
      <w:r>
        <w:t xml:space="preserve">New protocols entered into the </w:t>
      </w:r>
      <w:proofErr w:type="spellStart"/>
      <w:r>
        <w:t>OnCore</w:t>
      </w:r>
      <w:proofErr w:type="spellEnd"/>
      <w:r>
        <w:rPr>
          <w:position w:val="9"/>
          <w:sz w:val="16"/>
        </w:rPr>
        <w:t xml:space="preserve">® </w:t>
      </w:r>
      <w:r>
        <w:t>database undergo a data review by the PRMC Coordinator to ensure all mandatory fields are completed and the data entered corresponds to the protocol documents. The study is opened to accrual only after this validation check is passed.</w:t>
      </w:r>
    </w:p>
    <w:p w14:paraId="55CE46D8" w14:textId="1B73D2BC" w:rsidR="008D3B7E" w:rsidRDefault="008D3B7E" w:rsidP="008D3B7E">
      <w:pPr>
        <w:pStyle w:val="BodyText"/>
        <w:ind w:left="220" w:right="243"/>
      </w:pPr>
      <w:r>
        <w:t xml:space="preserve">Once the study is opened to accrual, the </w:t>
      </w:r>
      <w:proofErr w:type="spellStart"/>
      <w:r>
        <w:t>OnCore</w:t>
      </w:r>
      <w:proofErr w:type="spellEnd"/>
      <w:r>
        <w:rPr>
          <w:position w:val="9"/>
          <w:sz w:val="16"/>
        </w:rPr>
        <w:t xml:space="preserve">® </w:t>
      </w:r>
      <w:r>
        <w:t xml:space="preserve">Administrator performs an additional data review on the new protocol record. </w:t>
      </w:r>
      <w:r w:rsidR="00400BA3">
        <w:t>Also</w:t>
      </w:r>
      <w:r>
        <w:t>, protocol and subject status reports are generated at least monthly and reviewed for accuracy.</w:t>
      </w:r>
    </w:p>
    <w:p w14:paraId="6580ADB9" w14:textId="77777777" w:rsidR="008D3B7E" w:rsidRDefault="008D3B7E" w:rsidP="008D3B7E">
      <w:pPr>
        <w:pStyle w:val="BodyText"/>
        <w:spacing w:before="5"/>
        <w:rPr>
          <w:sz w:val="21"/>
        </w:rPr>
      </w:pPr>
    </w:p>
    <w:p w14:paraId="14958992" w14:textId="4AC663B1" w:rsidR="008D3B7E" w:rsidRDefault="008D3B7E" w:rsidP="008D3B7E">
      <w:pPr>
        <w:pStyle w:val="BodyText"/>
        <w:ind w:left="220" w:right="272"/>
      </w:pPr>
      <w:r>
        <w:t xml:space="preserve">The </w:t>
      </w:r>
      <w:proofErr w:type="spellStart"/>
      <w:r>
        <w:t>OnCore</w:t>
      </w:r>
      <w:proofErr w:type="spellEnd"/>
      <w:r>
        <w:rPr>
          <w:position w:val="9"/>
          <w:sz w:val="16"/>
        </w:rPr>
        <w:t xml:space="preserve">® </w:t>
      </w:r>
      <w:r>
        <w:t>Administrator will review all subject data (i.e.</w:t>
      </w:r>
      <w:r w:rsidR="00400BA3">
        <w:t>,</w:t>
      </w:r>
      <w:r>
        <w:t xml:space="preserve"> registration, status, treatment, follow-up) at least monthly to ensure that all mandatory fields are complete</w:t>
      </w:r>
      <w:r w:rsidR="00400BA3">
        <w:t>d</w:t>
      </w:r>
      <w:r>
        <w:t>. Data from Serious Adverse Events (SAEs) are reviewed by the QA Specialist within 24 hours of receiving the SAE notification to ensure all mandatory fields are completed.</w:t>
      </w:r>
    </w:p>
    <w:p w14:paraId="47CB6714" w14:textId="77777777" w:rsidR="008D3B7E" w:rsidRDefault="008D3B7E" w:rsidP="008D3B7E">
      <w:pPr>
        <w:pStyle w:val="BodyText"/>
        <w:spacing w:before="8"/>
        <w:rPr>
          <w:sz w:val="22"/>
        </w:rPr>
      </w:pPr>
    </w:p>
    <w:p w14:paraId="613E3737" w14:textId="2F7D48BD" w:rsidR="008D3B7E" w:rsidRDefault="008D3B7E" w:rsidP="008D3B7E">
      <w:pPr>
        <w:pStyle w:val="BodyText"/>
        <w:ind w:left="220" w:right="256"/>
      </w:pPr>
      <w:proofErr w:type="spellStart"/>
      <w:r>
        <w:t>OnCore</w:t>
      </w:r>
      <w:proofErr w:type="spellEnd"/>
      <w:r>
        <w:rPr>
          <w:position w:val="9"/>
          <w:sz w:val="16"/>
        </w:rPr>
        <w:t xml:space="preserve">® </w:t>
      </w:r>
      <w:r>
        <w:t xml:space="preserve">eCRF data are monitored </w:t>
      </w:r>
      <w:r w:rsidR="00470F54">
        <w:t>monthly</w:t>
      </w:r>
      <w:r>
        <w:t xml:space="preserve"> utilizing the </w:t>
      </w:r>
      <w:proofErr w:type="spellStart"/>
      <w:r>
        <w:t>OnCore</w:t>
      </w:r>
      <w:proofErr w:type="spellEnd"/>
      <w:r>
        <w:rPr>
          <w:position w:val="9"/>
          <w:sz w:val="16"/>
        </w:rPr>
        <w:t xml:space="preserve">® </w:t>
      </w:r>
      <w:r>
        <w:t>database Data Monitoring Console to ensure all mandatory fields are entered completely, accurately, and</w:t>
      </w:r>
      <w:r>
        <w:rPr>
          <w:spacing w:val="-40"/>
        </w:rPr>
        <w:t xml:space="preserve"> </w:t>
      </w:r>
      <w:r>
        <w:t xml:space="preserve">within time requirements. This process can often identify a misunderstanding or deficiency in the protocol requirements early in the study and can improve data quality. When a query uncovers an issue, which cannot be resolved among the research staff, statistician, and </w:t>
      </w:r>
      <w:r>
        <w:rPr>
          <w:spacing w:val="-2"/>
        </w:rPr>
        <w:t xml:space="preserve">PI, </w:t>
      </w:r>
      <w:r>
        <w:t>arbitration is achieved through the CTWG.</w:t>
      </w:r>
    </w:p>
    <w:p w14:paraId="2AD927BA" w14:textId="77777777" w:rsidR="008D3B7E" w:rsidRDefault="008D3B7E" w:rsidP="008D3B7E">
      <w:pPr>
        <w:pStyle w:val="BodyText"/>
        <w:spacing w:before="7"/>
      </w:pPr>
    </w:p>
    <w:p w14:paraId="67D5CFE0" w14:textId="745C3E78" w:rsidR="008D3B7E" w:rsidRDefault="008D3B7E" w:rsidP="008D3B7E">
      <w:pPr>
        <w:pStyle w:val="BodyText"/>
        <w:spacing w:line="232" w:lineRule="auto"/>
        <w:ind w:left="220" w:right="380"/>
      </w:pPr>
      <w:r>
        <w:t xml:space="preserve">A summary of each subject’s data record is continually available to the PI, research staff, and DSTC from the </w:t>
      </w:r>
      <w:proofErr w:type="spellStart"/>
      <w:r>
        <w:t>OnCore</w:t>
      </w:r>
      <w:proofErr w:type="spellEnd"/>
      <w:r>
        <w:rPr>
          <w:position w:val="9"/>
          <w:sz w:val="16"/>
        </w:rPr>
        <w:t xml:space="preserve">® </w:t>
      </w:r>
      <w:r>
        <w:t>database. The availability of this information is a valuable tool for the preparation of final reports and manuscripts</w:t>
      </w:r>
      <w:r w:rsidR="00470F54">
        <w:t>,</w:t>
      </w:r>
      <w:r>
        <w:t xml:space="preserve"> as well as ongoing deficiency reports.</w:t>
      </w:r>
    </w:p>
    <w:sectPr w:rsidR="008D3B7E">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8AE07E9" w14:textId="77777777" w:rsidR="008A0622" w:rsidRDefault="008A0622">
      <w:r>
        <w:separator/>
      </w:r>
    </w:p>
  </w:endnote>
  <w:endnote w:type="continuationSeparator" w:id="0">
    <w:p w14:paraId="343E1DCD" w14:textId="77777777" w:rsidR="008A0622" w:rsidRDefault="008A06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altName w:val="Sylfaen"/>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6624648" w14:textId="77777777" w:rsidR="00156BE4" w:rsidRDefault="001E4B19" w:rsidP="00156BE4">
    <w:pPr>
      <w:pStyle w:val="Footer"/>
      <w:jc w:val="right"/>
      <w:rPr>
        <w:noProof/>
      </w:rPr>
    </w:pPr>
    <w:r>
      <w:t xml:space="preserve">Page </w:t>
    </w:r>
    <w:sdt>
      <w:sdtPr>
        <w:id w:val="469646644"/>
        <w:docPartObj>
          <w:docPartGallery w:val="Page Numbers (Bottom of Page)"/>
          <w:docPartUnique/>
        </w:docPartObj>
      </w:sdtPr>
      <w:sdtEndPr>
        <w:rPr>
          <w:noProof/>
        </w:rPr>
      </w:sdtEndPr>
      <w:sdtContent>
        <w:r>
          <w:fldChar w:fldCharType="begin"/>
        </w:r>
        <w:r>
          <w:instrText xml:space="preserve"> PAGE   \* MERGEFORMAT </w:instrText>
        </w:r>
        <w:r>
          <w:fldChar w:fldCharType="separate"/>
        </w:r>
        <w:r>
          <w:rPr>
            <w:noProof/>
          </w:rPr>
          <w:t>2</w:t>
        </w:r>
        <w:r>
          <w:rPr>
            <w:noProof/>
          </w:rPr>
          <w:fldChar w:fldCharType="end"/>
        </w:r>
      </w:sdtContent>
    </w:sdt>
  </w:p>
  <w:p w14:paraId="1334DF53" w14:textId="196A844D" w:rsidR="00156BE4" w:rsidRPr="00156BE4" w:rsidRDefault="00156BE4" w:rsidP="00156BE4">
    <w:pPr>
      <w:pStyle w:val="Footer"/>
      <w:rPr>
        <w:noProof/>
      </w:rPr>
    </w:pPr>
    <w:r>
      <w:rPr>
        <w:noProof/>
      </w:rPr>
      <w:t>2/2020</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738ED6F" w14:textId="77777777" w:rsidR="008A0622" w:rsidRDefault="008A0622">
      <w:r>
        <w:separator/>
      </w:r>
    </w:p>
  </w:footnote>
  <w:footnote w:type="continuationSeparator" w:id="0">
    <w:p w14:paraId="53E8EDFB" w14:textId="77777777" w:rsidR="008A0622" w:rsidRDefault="008A06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6538450" w14:textId="77777777" w:rsidR="004D484B" w:rsidRDefault="001E4B19">
    <w:pPr>
      <w:pStyle w:val="BodyText"/>
      <w:spacing w:line="14" w:lineRule="auto"/>
      <w:rPr>
        <w:sz w:val="20"/>
      </w:rPr>
    </w:pPr>
    <w:r>
      <w:rPr>
        <w:noProof/>
      </w:rPr>
      <w:drawing>
        <wp:anchor distT="0" distB="0" distL="114300" distR="114300" simplePos="0" relativeHeight="251659264" behindDoc="0" locked="0" layoutInCell="1" allowOverlap="1" wp14:anchorId="4B8F5FF7" wp14:editId="6F2EF4C0">
          <wp:simplePos x="0" y="0"/>
          <wp:positionH relativeFrom="page">
            <wp:posOffset>771525</wp:posOffset>
          </wp:positionH>
          <wp:positionV relativeFrom="paragraph">
            <wp:posOffset>-47625</wp:posOffset>
          </wp:positionV>
          <wp:extent cx="2029968" cy="310896"/>
          <wp:effectExtent l="0" t="0" r="0" b="0"/>
          <wp:wrapSquare wrapText="bothSides"/>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HRP_124and295.png"/>
                  <pic:cNvPicPr/>
                </pic:nvPicPr>
                <pic:blipFill>
                  <a:blip r:embed="rId1">
                    <a:extLst>
                      <a:ext uri="{28A0092B-C50C-407E-A947-70E740481C1C}">
                        <a14:useLocalDpi xmlns:a14="http://schemas.microsoft.com/office/drawing/2010/main" val="0"/>
                      </a:ext>
                    </a:extLst>
                  </a:blip>
                  <a:stretch>
                    <a:fillRect/>
                  </a:stretch>
                </pic:blipFill>
                <pic:spPr>
                  <a:xfrm>
                    <a:off x="0" y="0"/>
                    <a:ext cx="2029968" cy="310896"/>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C17A25"/>
    <w:multiLevelType w:val="hybridMultilevel"/>
    <w:tmpl w:val="52A6FE8C"/>
    <w:lvl w:ilvl="0" w:tplc="F4F2888E">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2DE633F6">
      <w:start w:val="1"/>
      <w:numFmt w:val="decimal"/>
      <w:lvlText w:val="%2."/>
      <w:lvlJc w:val="left"/>
      <w:pPr>
        <w:ind w:left="1301" w:hanging="361"/>
        <w:jc w:val="left"/>
      </w:pPr>
      <w:rPr>
        <w:rFonts w:ascii="Times New Roman" w:eastAsia="Times New Roman" w:hAnsi="Times New Roman" w:cs="Times New Roman" w:hint="default"/>
        <w:b/>
        <w:bCs/>
        <w:spacing w:val="-5"/>
        <w:w w:val="99"/>
        <w:sz w:val="24"/>
        <w:szCs w:val="24"/>
        <w:lang w:val="en-US" w:eastAsia="en-US" w:bidi="en-US"/>
      </w:rPr>
    </w:lvl>
    <w:lvl w:ilvl="2" w:tplc="D19E3FC4">
      <w:start w:val="1"/>
      <w:numFmt w:val="lowerLetter"/>
      <w:lvlText w:val="%3."/>
      <w:lvlJc w:val="left"/>
      <w:pPr>
        <w:ind w:left="1661" w:hanging="360"/>
        <w:jc w:val="left"/>
      </w:pPr>
      <w:rPr>
        <w:rFonts w:ascii="Times New Roman" w:eastAsia="Times New Roman" w:hAnsi="Times New Roman" w:cs="Times New Roman" w:hint="default"/>
        <w:spacing w:val="-8"/>
        <w:w w:val="99"/>
        <w:sz w:val="24"/>
        <w:szCs w:val="24"/>
        <w:lang w:val="en-US" w:eastAsia="en-US" w:bidi="en-US"/>
      </w:rPr>
    </w:lvl>
    <w:lvl w:ilvl="3" w:tplc="A32E96B4">
      <w:numFmt w:val="bullet"/>
      <w:lvlText w:val="•"/>
      <w:lvlJc w:val="left"/>
      <w:pPr>
        <w:ind w:left="2677" w:hanging="360"/>
      </w:pPr>
      <w:rPr>
        <w:rFonts w:hint="default"/>
        <w:lang w:val="en-US" w:eastAsia="en-US" w:bidi="en-US"/>
      </w:rPr>
    </w:lvl>
    <w:lvl w:ilvl="4" w:tplc="EAECE4CA">
      <w:numFmt w:val="bullet"/>
      <w:lvlText w:val="•"/>
      <w:lvlJc w:val="left"/>
      <w:pPr>
        <w:ind w:left="3695" w:hanging="360"/>
      </w:pPr>
      <w:rPr>
        <w:rFonts w:hint="default"/>
        <w:lang w:val="en-US" w:eastAsia="en-US" w:bidi="en-US"/>
      </w:rPr>
    </w:lvl>
    <w:lvl w:ilvl="5" w:tplc="A2C27F16">
      <w:numFmt w:val="bullet"/>
      <w:lvlText w:val="•"/>
      <w:lvlJc w:val="left"/>
      <w:pPr>
        <w:ind w:left="4712" w:hanging="360"/>
      </w:pPr>
      <w:rPr>
        <w:rFonts w:hint="default"/>
        <w:lang w:val="en-US" w:eastAsia="en-US" w:bidi="en-US"/>
      </w:rPr>
    </w:lvl>
    <w:lvl w:ilvl="6" w:tplc="D6CE1E6C">
      <w:numFmt w:val="bullet"/>
      <w:lvlText w:val="•"/>
      <w:lvlJc w:val="left"/>
      <w:pPr>
        <w:ind w:left="5730" w:hanging="360"/>
      </w:pPr>
      <w:rPr>
        <w:rFonts w:hint="default"/>
        <w:lang w:val="en-US" w:eastAsia="en-US" w:bidi="en-US"/>
      </w:rPr>
    </w:lvl>
    <w:lvl w:ilvl="7" w:tplc="9A7871A8">
      <w:numFmt w:val="bullet"/>
      <w:lvlText w:val="•"/>
      <w:lvlJc w:val="left"/>
      <w:pPr>
        <w:ind w:left="6747" w:hanging="360"/>
      </w:pPr>
      <w:rPr>
        <w:rFonts w:hint="default"/>
        <w:lang w:val="en-US" w:eastAsia="en-US" w:bidi="en-US"/>
      </w:rPr>
    </w:lvl>
    <w:lvl w:ilvl="8" w:tplc="96AE0D62">
      <w:numFmt w:val="bullet"/>
      <w:lvlText w:val="•"/>
      <w:lvlJc w:val="left"/>
      <w:pPr>
        <w:ind w:left="7765" w:hanging="360"/>
      </w:pPr>
      <w:rPr>
        <w:rFonts w:hint="default"/>
        <w:lang w:val="en-US" w:eastAsia="en-US" w:bidi="en-US"/>
      </w:rPr>
    </w:lvl>
  </w:abstractNum>
  <w:abstractNum w:abstractNumId="1" w15:restartNumberingAfterBreak="0">
    <w:nsid w:val="13067F4E"/>
    <w:multiLevelType w:val="hybridMultilevel"/>
    <w:tmpl w:val="547812F8"/>
    <w:lvl w:ilvl="0" w:tplc="306ACBBE">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B96E68CA">
      <w:start w:val="1"/>
      <w:numFmt w:val="decimal"/>
      <w:lvlText w:val="%2."/>
      <w:lvlJc w:val="left"/>
      <w:pPr>
        <w:ind w:left="1301" w:hanging="361"/>
        <w:jc w:val="left"/>
      </w:pPr>
      <w:rPr>
        <w:rFonts w:ascii="Times New Roman" w:eastAsia="Times New Roman" w:hAnsi="Times New Roman" w:cs="Times New Roman" w:hint="default"/>
        <w:b/>
        <w:bCs/>
        <w:spacing w:val="-5"/>
        <w:w w:val="99"/>
        <w:sz w:val="24"/>
        <w:szCs w:val="24"/>
        <w:lang w:val="en-US" w:eastAsia="en-US" w:bidi="en-US"/>
      </w:rPr>
    </w:lvl>
    <w:lvl w:ilvl="2" w:tplc="793C88E6">
      <w:numFmt w:val="bullet"/>
      <w:lvlText w:val="•"/>
      <w:lvlJc w:val="left"/>
      <w:pPr>
        <w:ind w:left="2244" w:hanging="361"/>
      </w:pPr>
      <w:rPr>
        <w:rFonts w:hint="default"/>
        <w:lang w:val="en-US" w:eastAsia="en-US" w:bidi="en-US"/>
      </w:rPr>
    </w:lvl>
    <w:lvl w:ilvl="3" w:tplc="740C8334">
      <w:numFmt w:val="bullet"/>
      <w:lvlText w:val="•"/>
      <w:lvlJc w:val="left"/>
      <w:pPr>
        <w:ind w:left="3188" w:hanging="361"/>
      </w:pPr>
      <w:rPr>
        <w:rFonts w:hint="default"/>
        <w:lang w:val="en-US" w:eastAsia="en-US" w:bidi="en-US"/>
      </w:rPr>
    </w:lvl>
    <w:lvl w:ilvl="4" w:tplc="05666BDE">
      <w:numFmt w:val="bullet"/>
      <w:lvlText w:val="•"/>
      <w:lvlJc w:val="left"/>
      <w:pPr>
        <w:ind w:left="4133" w:hanging="361"/>
      </w:pPr>
      <w:rPr>
        <w:rFonts w:hint="default"/>
        <w:lang w:val="en-US" w:eastAsia="en-US" w:bidi="en-US"/>
      </w:rPr>
    </w:lvl>
    <w:lvl w:ilvl="5" w:tplc="BBA2E348">
      <w:numFmt w:val="bullet"/>
      <w:lvlText w:val="•"/>
      <w:lvlJc w:val="left"/>
      <w:pPr>
        <w:ind w:left="5077" w:hanging="361"/>
      </w:pPr>
      <w:rPr>
        <w:rFonts w:hint="default"/>
        <w:lang w:val="en-US" w:eastAsia="en-US" w:bidi="en-US"/>
      </w:rPr>
    </w:lvl>
    <w:lvl w:ilvl="6" w:tplc="BC267402">
      <w:numFmt w:val="bullet"/>
      <w:lvlText w:val="•"/>
      <w:lvlJc w:val="left"/>
      <w:pPr>
        <w:ind w:left="6022" w:hanging="361"/>
      </w:pPr>
      <w:rPr>
        <w:rFonts w:hint="default"/>
        <w:lang w:val="en-US" w:eastAsia="en-US" w:bidi="en-US"/>
      </w:rPr>
    </w:lvl>
    <w:lvl w:ilvl="7" w:tplc="FAC85B7C">
      <w:numFmt w:val="bullet"/>
      <w:lvlText w:val="•"/>
      <w:lvlJc w:val="left"/>
      <w:pPr>
        <w:ind w:left="6966" w:hanging="361"/>
      </w:pPr>
      <w:rPr>
        <w:rFonts w:hint="default"/>
        <w:lang w:val="en-US" w:eastAsia="en-US" w:bidi="en-US"/>
      </w:rPr>
    </w:lvl>
    <w:lvl w:ilvl="8" w:tplc="1F4895AC">
      <w:numFmt w:val="bullet"/>
      <w:lvlText w:val="•"/>
      <w:lvlJc w:val="left"/>
      <w:pPr>
        <w:ind w:left="7911" w:hanging="361"/>
      </w:pPr>
      <w:rPr>
        <w:rFonts w:hint="default"/>
        <w:lang w:val="en-US" w:eastAsia="en-US" w:bidi="en-US"/>
      </w:rPr>
    </w:lvl>
  </w:abstractNum>
  <w:abstractNum w:abstractNumId="2" w15:restartNumberingAfterBreak="0">
    <w:nsid w:val="32534CC7"/>
    <w:multiLevelType w:val="hybridMultilevel"/>
    <w:tmpl w:val="6AD039DE"/>
    <w:lvl w:ilvl="0" w:tplc="52004028">
      <w:start w:val="1"/>
      <w:numFmt w:val="upperLetter"/>
      <w:lvlText w:val="%1."/>
      <w:lvlJc w:val="left"/>
      <w:pPr>
        <w:ind w:left="1000" w:hanging="780"/>
        <w:jc w:val="left"/>
      </w:pPr>
      <w:rPr>
        <w:rFonts w:ascii="Times New Roman" w:eastAsia="Times New Roman" w:hAnsi="Times New Roman" w:cs="Times New Roman" w:hint="default"/>
        <w:b/>
        <w:bCs/>
        <w:spacing w:val="-2"/>
        <w:w w:val="99"/>
        <w:sz w:val="24"/>
        <w:szCs w:val="24"/>
        <w:lang w:val="en-US" w:eastAsia="en-US" w:bidi="en-US"/>
      </w:rPr>
    </w:lvl>
    <w:lvl w:ilvl="1" w:tplc="CD7E0808">
      <w:start w:val="1"/>
      <w:numFmt w:val="decimal"/>
      <w:lvlText w:val="%2."/>
      <w:lvlJc w:val="left"/>
      <w:pPr>
        <w:ind w:left="1301" w:hanging="361"/>
        <w:jc w:val="left"/>
      </w:pPr>
      <w:rPr>
        <w:rFonts w:ascii="Times New Roman" w:eastAsia="Times New Roman" w:hAnsi="Times New Roman" w:cs="Times New Roman" w:hint="default"/>
        <w:b/>
        <w:bCs/>
        <w:spacing w:val="-6"/>
        <w:w w:val="99"/>
        <w:sz w:val="24"/>
        <w:szCs w:val="24"/>
        <w:lang w:val="en-US" w:eastAsia="en-US" w:bidi="en-US"/>
      </w:rPr>
    </w:lvl>
    <w:lvl w:ilvl="2" w:tplc="9AC62FEC">
      <w:numFmt w:val="bullet"/>
      <w:lvlText w:val="•"/>
      <w:lvlJc w:val="left"/>
      <w:pPr>
        <w:ind w:left="2244" w:hanging="361"/>
      </w:pPr>
      <w:rPr>
        <w:rFonts w:hint="default"/>
        <w:lang w:val="en-US" w:eastAsia="en-US" w:bidi="en-US"/>
      </w:rPr>
    </w:lvl>
    <w:lvl w:ilvl="3" w:tplc="EF8C8602">
      <w:numFmt w:val="bullet"/>
      <w:lvlText w:val="•"/>
      <w:lvlJc w:val="left"/>
      <w:pPr>
        <w:ind w:left="3188" w:hanging="361"/>
      </w:pPr>
      <w:rPr>
        <w:rFonts w:hint="default"/>
        <w:lang w:val="en-US" w:eastAsia="en-US" w:bidi="en-US"/>
      </w:rPr>
    </w:lvl>
    <w:lvl w:ilvl="4" w:tplc="71F4155C">
      <w:numFmt w:val="bullet"/>
      <w:lvlText w:val="•"/>
      <w:lvlJc w:val="left"/>
      <w:pPr>
        <w:ind w:left="4133" w:hanging="361"/>
      </w:pPr>
      <w:rPr>
        <w:rFonts w:hint="default"/>
        <w:lang w:val="en-US" w:eastAsia="en-US" w:bidi="en-US"/>
      </w:rPr>
    </w:lvl>
    <w:lvl w:ilvl="5" w:tplc="D944C7F0">
      <w:numFmt w:val="bullet"/>
      <w:lvlText w:val="•"/>
      <w:lvlJc w:val="left"/>
      <w:pPr>
        <w:ind w:left="5077" w:hanging="361"/>
      </w:pPr>
      <w:rPr>
        <w:rFonts w:hint="default"/>
        <w:lang w:val="en-US" w:eastAsia="en-US" w:bidi="en-US"/>
      </w:rPr>
    </w:lvl>
    <w:lvl w:ilvl="6" w:tplc="B6289910">
      <w:numFmt w:val="bullet"/>
      <w:lvlText w:val="•"/>
      <w:lvlJc w:val="left"/>
      <w:pPr>
        <w:ind w:left="6022" w:hanging="361"/>
      </w:pPr>
      <w:rPr>
        <w:rFonts w:hint="default"/>
        <w:lang w:val="en-US" w:eastAsia="en-US" w:bidi="en-US"/>
      </w:rPr>
    </w:lvl>
    <w:lvl w:ilvl="7" w:tplc="73C6ECFE">
      <w:numFmt w:val="bullet"/>
      <w:lvlText w:val="•"/>
      <w:lvlJc w:val="left"/>
      <w:pPr>
        <w:ind w:left="6966" w:hanging="361"/>
      </w:pPr>
      <w:rPr>
        <w:rFonts w:hint="default"/>
        <w:lang w:val="en-US" w:eastAsia="en-US" w:bidi="en-US"/>
      </w:rPr>
    </w:lvl>
    <w:lvl w:ilvl="8" w:tplc="89DA19E6">
      <w:numFmt w:val="bullet"/>
      <w:lvlText w:val="•"/>
      <w:lvlJc w:val="left"/>
      <w:pPr>
        <w:ind w:left="7911" w:hanging="361"/>
      </w:pPr>
      <w:rPr>
        <w:rFonts w:hint="default"/>
        <w:lang w:val="en-US" w:eastAsia="en-US" w:bidi="en-US"/>
      </w:rPr>
    </w:lvl>
  </w:abstractNum>
  <w:abstractNum w:abstractNumId="3" w15:restartNumberingAfterBreak="0">
    <w:nsid w:val="4CB62B8A"/>
    <w:multiLevelType w:val="hybridMultilevel"/>
    <w:tmpl w:val="7A36D57C"/>
    <w:lvl w:ilvl="0" w:tplc="82DCDB58">
      <w:start w:val="1"/>
      <w:numFmt w:val="upp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2A117DB"/>
    <w:multiLevelType w:val="hybridMultilevel"/>
    <w:tmpl w:val="9F76ED00"/>
    <w:lvl w:ilvl="0" w:tplc="D2B63048">
      <w:start w:val="1"/>
      <w:numFmt w:val="upperRoman"/>
      <w:lvlText w:val="%1."/>
      <w:lvlJc w:val="left"/>
      <w:pPr>
        <w:ind w:left="940" w:hanging="720"/>
        <w:jc w:val="left"/>
      </w:pPr>
      <w:rPr>
        <w:rFonts w:ascii="Times New Roman" w:eastAsia="Times New Roman" w:hAnsi="Times New Roman" w:cs="Times New Roman" w:hint="default"/>
        <w:b/>
        <w:bCs/>
        <w:spacing w:val="-1"/>
        <w:w w:val="99"/>
        <w:sz w:val="28"/>
        <w:szCs w:val="28"/>
        <w:lang w:val="en-US" w:eastAsia="en-US" w:bidi="en-US"/>
      </w:rPr>
    </w:lvl>
    <w:lvl w:ilvl="1" w:tplc="B23C3F0A">
      <w:numFmt w:val="bullet"/>
      <w:lvlText w:val="•"/>
      <w:lvlJc w:val="left"/>
      <w:pPr>
        <w:ind w:left="1826" w:hanging="720"/>
      </w:pPr>
      <w:rPr>
        <w:rFonts w:hint="default"/>
        <w:lang w:val="en-US" w:eastAsia="en-US" w:bidi="en-US"/>
      </w:rPr>
    </w:lvl>
    <w:lvl w:ilvl="2" w:tplc="AD9CC57E">
      <w:numFmt w:val="bullet"/>
      <w:lvlText w:val="•"/>
      <w:lvlJc w:val="left"/>
      <w:pPr>
        <w:ind w:left="2712" w:hanging="720"/>
      </w:pPr>
      <w:rPr>
        <w:rFonts w:hint="default"/>
        <w:lang w:val="en-US" w:eastAsia="en-US" w:bidi="en-US"/>
      </w:rPr>
    </w:lvl>
    <w:lvl w:ilvl="3" w:tplc="181E7F64">
      <w:numFmt w:val="bullet"/>
      <w:lvlText w:val="•"/>
      <w:lvlJc w:val="left"/>
      <w:pPr>
        <w:ind w:left="3598" w:hanging="720"/>
      </w:pPr>
      <w:rPr>
        <w:rFonts w:hint="default"/>
        <w:lang w:val="en-US" w:eastAsia="en-US" w:bidi="en-US"/>
      </w:rPr>
    </w:lvl>
    <w:lvl w:ilvl="4" w:tplc="ABDEF3EA">
      <w:numFmt w:val="bullet"/>
      <w:lvlText w:val="•"/>
      <w:lvlJc w:val="left"/>
      <w:pPr>
        <w:ind w:left="4484" w:hanging="720"/>
      </w:pPr>
      <w:rPr>
        <w:rFonts w:hint="default"/>
        <w:lang w:val="en-US" w:eastAsia="en-US" w:bidi="en-US"/>
      </w:rPr>
    </w:lvl>
    <w:lvl w:ilvl="5" w:tplc="F1A04FEC">
      <w:numFmt w:val="bullet"/>
      <w:lvlText w:val="•"/>
      <w:lvlJc w:val="left"/>
      <w:pPr>
        <w:ind w:left="5370" w:hanging="720"/>
      </w:pPr>
      <w:rPr>
        <w:rFonts w:hint="default"/>
        <w:lang w:val="en-US" w:eastAsia="en-US" w:bidi="en-US"/>
      </w:rPr>
    </w:lvl>
    <w:lvl w:ilvl="6" w:tplc="6A1641EE">
      <w:numFmt w:val="bullet"/>
      <w:lvlText w:val="•"/>
      <w:lvlJc w:val="left"/>
      <w:pPr>
        <w:ind w:left="6256" w:hanging="720"/>
      </w:pPr>
      <w:rPr>
        <w:rFonts w:hint="default"/>
        <w:lang w:val="en-US" w:eastAsia="en-US" w:bidi="en-US"/>
      </w:rPr>
    </w:lvl>
    <w:lvl w:ilvl="7" w:tplc="CCA4688C">
      <w:numFmt w:val="bullet"/>
      <w:lvlText w:val="•"/>
      <w:lvlJc w:val="left"/>
      <w:pPr>
        <w:ind w:left="7142" w:hanging="720"/>
      </w:pPr>
      <w:rPr>
        <w:rFonts w:hint="default"/>
        <w:lang w:val="en-US" w:eastAsia="en-US" w:bidi="en-US"/>
      </w:rPr>
    </w:lvl>
    <w:lvl w:ilvl="8" w:tplc="63ECD27E">
      <w:numFmt w:val="bullet"/>
      <w:lvlText w:val="•"/>
      <w:lvlJc w:val="left"/>
      <w:pPr>
        <w:ind w:left="8028" w:hanging="720"/>
      </w:pPr>
      <w:rPr>
        <w:rFonts w:hint="default"/>
        <w:lang w:val="en-US" w:eastAsia="en-US" w:bidi="en-US"/>
      </w:rPr>
    </w:lvl>
  </w:abstractNum>
  <w:abstractNum w:abstractNumId="5" w15:restartNumberingAfterBreak="0">
    <w:nsid w:val="66993CC8"/>
    <w:multiLevelType w:val="hybridMultilevel"/>
    <w:tmpl w:val="F12E31C0"/>
    <w:lvl w:ilvl="0" w:tplc="E90AE7F6">
      <w:start w:val="1"/>
      <w:numFmt w:val="upperRoman"/>
      <w:lvlText w:val="%1."/>
      <w:lvlJc w:val="left"/>
      <w:pPr>
        <w:ind w:left="492" w:hanging="272"/>
        <w:jc w:val="left"/>
      </w:pPr>
      <w:rPr>
        <w:rFonts w:ascii="Times New Roman" w:eastAsia="Times New Roman" w:hAnsi="Times New Roman" w:cs="Times New Roman" w:hint="default"/>
        <w:spacing w:val="-5"/>
        <w:w w:val="99"/>
        <w:sz w:val="24"/>
        <w:szCs w:val="24"/>
        <w:lang w:val="en-US" w:eastAsia="en-US" w:bidi="en-US"/>
      </w:rPr>
    </w:lvl>
    <w:lvl w:ilvl="1" w:tplc="64E40AA0">
      <w:start w:val="1"/>
      <w:numFmt w:val="upperLetter"/>
      <w:lvlText w:val="%2."/>
      <w:lvlJc w:val="left"/>
      <w:pPr>
        <w:ind w:left="1100" w:hanging="660"/>
        <w:jc w:val="left"/>
      </w:pPr>
      <w:rPr>
        <w:rFonts w:ascii="Times New Roman" w:eastAsia="Times New Roman" w:hAnsi="Times New Roman" w:cs="Times New Roman" w:hint="default"/>
        <w:spacing w:val="-6"/>
        <w:w w:val="99"/>
        <w:sz w:val="24"/>
        <w:szCs w:val="24"/>
        <w:lang w:val="en-US" w:eastAsia="en-US" w:bidi="en-US"/>
      </w:rPr>
    </w:lvl>
    <w:lvl w:ilvl="2" w:tplc="EFE4A738">
      <w:numFmt w:val="bullet"/>
      <w:lvlText w:val="•"/>
      <w:lvlJc w:val="left"/>
      <w:pPr>
        <w:ind w:left="2066" w:hanging="660"/>
      </w:pPr>
      <w:rPr>
        <w:rFonts w:hint="default"/>
        <w:lang w:val="en-US" w:eastAsia="en-US" w:bidi="en-US"/>
      </w:rPr>
    </w:lvl>
    <w:lvl w:ilvl="3" w:tplc="953CA5DA">
      <w:numFmt w:val="bullet"/>
      <w:lvlText w:val="•"/>
      <w:lvlJc w:val="left"/>
      <w:pPr>
        <w:ind w:left="3033" w:hanging="660"/>
      </w:pPr>
      <w:rPr>
        <w:rFonts w:hint="default"/>
        <w:lang w:val="en-US" w:eastAsia="en-US" w:bidi="en-US"/>
      </w:rPr>
    </w:lvl>
    <w:lvl w:ilvl="4" w:tplc="41A610F4">
      <w:numFmt w:val="bullet"/>
      <w:lvlText w:val="•"/>
      <w:lvlJc w:val="left"/>
      <w:pPr>
        <w:ind w:left="4000" w:hanging="660"/>
      </w:pPr>
      <w:rPr>
        <w:rFonts w:hint="default"/>
        <w:lang w:val="en-US" w:eastAsia="en-US" w:bidi="en-US"/>
      </w:rPr>
    </w:lvl>
    <w:lvl w:ilvl="5" w:tplc="DB90D5D2">
      <w:numFmt w:val="bullet"/>
      <w:lvlText w:val="•"/>
      <w:lvlJc w:val="left"/>
      <w:pPr>
        <w:ind w:left="4966" w:hanging="660"/>
      </w:pPr>
      <w:rPr>
        <w:rFonts w:hint="default"/>
        <w:lang w:val="en-US" w:eastAsia="en-US" w:bidi="en-US"/>
      </w:rPr>
    </w:lvl>
    <w:lvl w:ilvl="6" w:tplc="70EEE0AA">
      <w:numFmt w:val="bullet"/>
      <w:lvlText w:val="•"/>
      <w:lvlJc w:val="left"/>
      <w:pPr>
        <w:ind w:left="5933" w:hanging="660"/>
      </w:pPr>
      <w:rPr>
        <w:rFonts w:hint="default"/>
        <w:lang w:val="en-US" w:eastAsia="en-US" w:bidi="en-US"/>
      </w:rPr>
    </w:lvl>
    <w:lvl w:ilvl="7" w:tplc="707E05F0">
      <w:numFmt w:val="bullet"/>
      <w:lvlText w:val="•"/>
      <w:lvlJc w:val="left"/>
      <w:pPr>
        <w:ind w:left="6900" w:hanging="660"/>
      </w:pPr>
      <w:rPr>
        <w:rFonts w:hint="default"/>
        <w:lang w:val="en-US" w:eastAsia="en-US" w:bidi="en-US"/>
      </w:rPr>
    </w:lvl>
    <w:lvl w:ilvl="8" w:tplc="4B7A0F7A">
      <w:numFmt w:val="bullet"/>
      <w:lvlText w:val="•"/>
      <w:lvlJc w:val="left"/>
      <w:pPr>
        <w:ind w:left="7866" w:hanging="660"/>
      </w:pPr>
      <w:rPr>
        <w:rFonts w:hint="default"/>
        <w:lang w:val="en-US" w:eastAsia="en-US" w:bidi="en-US"/>
      </w:rPr>
    </w:lvl>
  </w:abstractNum>
  <w:abstractNum w:abstractNumId="6" w15:restartNumberingAfterBreak="0">
    <w:nsid w:val="74C61542"/>
    <w:multiLevelType w:val="hybridMultilevel"/>
    <w:tmpl w:val="60B44D54"/>
    <w:lvl w:ilvl="0" w:tplc="0206DFF2">
      <w:start w:val="1"/>
      <w:numFmt w:val="upperLetter"/>
      <w:lvlText w:val="%1."/>
      <w:lvlJc w:val="left"/>
      <w:pPr>
        <w:ind w:left="940" w:hanging="720"/>
        <w:jc w:val="left"/>
      </w:pPr>
      <w:rPr>
        <w:rFonts w:ascii="Times New Roman" w:eastAsia="Times New Roman" w:hAnsi="Times New Roman" w:cs="Times New Roman" w:hint="default"/>
        <w:b/>
        <w:bCs/>
        <w:spacing w:val="-2"/>
        <w:w w:val="99"/>
        <w:sz w:val="24"/>
        <w:szCs w:val="24"/>
        <w:lang w:val="en-US" w:eastAsia="en-US" w:bidi="en-US"/>
      </w:rPr>
    </w:lvl>
    <w:lvl w:ilvl="1" w:tplc="DCE0154E">
      <w:start w:val="1"/>
      <w:numFmt w:val="decimal"/>
      <w:lvlText w:val="%2."/>
      <w:lvlJc w:val="left"/>
      <w:pPr>
        <w:ind w:left="1301" w:hanging="361"/>
        <w:jc w:val="left"/>
      </w:pPr>
      <w:rPr>
        <w:rFonts w:ascii="Times New Roman" w:eastAsia="Times New Roman" w:hAnsi="Times New Roman" w:cs="Times New Roman" w:hint="default"/>
        <w:b/>
        <w:bCs/>
        <w:spacing w:val="-5"/>
        <w:w w:val="99"/>
        <w:sz w:val="24"/>
        <w:szCs w:val="24"/>
        <w:lang w:val="en-US" w:eastAsia="en-US" w:bidi="en-US"/>
      </w:rPr>
    </w:lvl>
    <w:lvl w:ilvl="2" w:tplc="AD68F8EE">
      <w:numFmt w:val="bullet"/>
      <w:lvlText w:val="•"/>
      <w:lvlJc w:val="left"/>
      <w:pPr>
        <w:ind w:left="2244" w:hanging="361"/>
      </w:pPr>
      <w:rPr>
        <w:rFonts w:hint="default"/>
        <w:lang w:val="en-US" w:eastAsia="en-US" w:bidi="en-US"/>
      </w:rPr>
    </w:lvl>
    <w:lvl w:ilvl="3" w:tplc="4FA01E6E">
      <w:numFmt w:val="bullet"/>
      <w:lvlText w:val="•"/>
      <w:lvlJc w:val="left"/>
      <w:pPr>
        <w:ind w:left="3188" w:hanging="361"/>
      </w:pPr>
      <w:rPr>
        <w:rFonts w:hint="default"/>
        <w:lang w:val="en-US" w:eastAsia="en-US" w:bidi="en-US"/>
      </w:rPr>
    </w:lvl>
    <w:lvl w:ilvl="4" w:tplc="AE44117A">
      <w:numFmt w:val="bullet"/>
      <w:lvlText w:val="•"/>
      <w:lvlJc w:val="left"/>
      <w:pPr>
        <w:ind w:left="4133" w:hanging="361"/>
      </w:pPr>
      <w:rPr>
        <w:rFonts w:hint="default"/>
        <w:lang w:val="en-US" w:eastAsia="en-US" w:bidi="en-US"/>
      </w:rPr>
    </w:lvl>
    <w:lvl w:ilvl="5" w:tplc="C5164E46">
      <w:numFmt w:val="bullet"/>
      <w:lvlText w:val="•"/>
      <w:lvlJc w:val="left"/>
      <w:pPr>
        <w:ind w:left="5077" w:hanging="361"/>
      </w:pPr>
      <w:rPr>
        <w:rFonts w:hint="default"/>
        <w:lang w:val="en-US" w:eastAsia="en-US" w:bidi="en-US"/>
      </w:rPr>
    </w:lvl>
    <w:lvl w:ilvl="6" w:tplc="43FC6E0E">
      <w:numFmt w:val="bullet"/>
      <w:lvlText w:val="•"/>
      <w:lvlJc w:val="left"/>
      <w:pPr>
        <w:ind w:left="6022" w:hanging="361"/>
      </w:pPr>
      <w:rPr>
        <w:rFonts w:hint="default"/>
        <w:lang w:val="en-US" w:eastAsia="en-US" w:bidi="en-US"/>
      </w:rPr>
    </w:lvl>
    <w:lvl w:ilvl="7" w:tplc="9FA880C0">
      <w:numFmt w:val="bullet"/>
      <w:lvlText w:val="•"/>
      <w:lvlJc w:val="left"/>
      <w:pPr>
        <w:ind w:left="6966" w:hanging="361"/>
      </w:pPr>
      <w:rPr>
        <w:rFonts w:hint="default"/>
        <w:lang w:val="en-US" w:eastAsia="en-US" w:bidi="en-US"/>
      </w:rPr>
    </w:lvl>
    <w:lvl w:ilvl="8" w:tplc="E90E5AB8">
      <w:numFmt w:val="bullet"/>
      <w:lvlText w:val="•"/>
      <w:lvlJc w:val="left"/>
      <w:pPr>
        <w:ind w:left="7911" w:hanging="361"/>
      </w:pPr>
      <w:rPr>
        <w:rFonts w:hint="default"/>
        <w:lang w:val="en-US" w:eastAsia="en-US" w:bidi="en-US"/>
      </w:rPr>
    </w:lvl>
  </w:abstractNum>
  <w:num w:numId="1">
    <w:abstractNumId w:val="1"/>
  </w:num>
  <w:num w:numId="2">
    <w:abstractNumId w:val="2"/>
  </w:num>
  <w:num w:numId="3">
    <w:abstractNumId w:val="0"/>
  </w:num>
  <w:num w:numId="4">
    <w:abstractNumId w:val="6"/>
  </w:num>
  <w:num w:numId="5">
    <w:abstractNumId w:val="4"/>
  </w:num>
  <w:num w:numId="6">
    <w:abstractNumId w:val="5"/>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3"/>
  <w:hideSpellingErrors/>
  <w:hideGrammaticalErrors/>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MjUxMzcxMTQ3tjQwMzRR0lEKTi0uzszPAykwrQUA0PRnWywAAAA="/>
  </w:docVars>
  <w:rsids>
    <w:rsidRoot w:val="003334E2"/>
    <w:rsid w:val="00036AF3"/>
    <w:rsid w:val="00093C2C"/>
    <w:rsid w:val="00104EB8"/>
    <w:rsid w:val="0012562D"/>
    <w:rsid w:val="00151DEE"/>
    <w:rsid w:val="00156BE4"/>
    <w:rsid w:val="001600A0"/>
    <w:rsid w:val="001A24F7"/>
    <w:rsid w:val="001E4B19"/>
    <w:rsid w:val="00230513"/>
    <w:rsid w:val="003333BB"/>
    <w:rsid w:val="003334E2"/>
    <w:rsid w:val="003D227C"/>
    <w:rsid w:val="00400BA3"/>
    <w:rsid w:val="0044475E"/>
    <w:rsid w:val="00470F54"/>
    <w:rsid w:val="006319FE"/>
    <w:rsid w:val="00640CFE"/>
    <w:rsid w:val="006E61E5"/>
    <w:rsid w:val="00733399"/>
    <w:rsid w:val="007665E0"/>
    <w:rsid w:val="00800E9A"/>
    <w:rsid w:val="00816CAA"/>
    <w:rsid w:val="0087684C"/>
    <w:rsid w:val="00881A79"/>
    <w:rsid w:val="008A0622"/>
    <w:rsid w:val="008C49E0"/>
    <w:rsid w:val="008D3B7E"/>
    <w:rsid w:val="00904319"/>
    <w:rsid w:val="009963B9"/>
    <w:rsid w:val="00B672AE"/>
    <w:rsid w:val="00C824C3"/>
    <w:rsid w:val="00C97F9D"/>
    <w:rsid w:val="00D94F01"/>
    <w:rsid w:val="00E0536A"/>
    <w:rsid w:val="00EB4B51"/>
    <w:rsid w:val="00EF77B8"/>
    <w:rsid w:val="00FD7B08"/>
    <w:rsid w:val="17D2A1DA"/>
    <w:rsid w:val="384FA450"/>
    <w:rsid w:val="3CAFA89C"/>
    <w:rsid w:val="61B70201"/>
    <w:rsid w:val="76C012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9C9ACEE"/>
  <w15:chartTrackingRefBased/>
  <w15:docId w15:val="{0CD6C981-E2B6-473B-99CB-237E4714D8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8D3B7E"/>
    <w:pPr>
      <w:widowControl w:val="0"/>
      <w:autoSpaceDE w:val="0"/>
      <w:autoSpaceDN w:val="0"/>
      <w:spacing w:after="0" w:line="240" w:lineRule="auto"/>
    </w:pPr>
    <w:rPr>
      <w:rFonts w:ascii="Times New Roman" w:eastAsia="Times New Roman" w:hAnsi="Times New Roman" w:cs="Times New Roman"/>
      <w:lang w:bidi="en-US"/>
    </w:rPr>
  </w:style>
  <w:style w:type="paragraph" w:styleId="Heading1">
    <w:name w:val="heading 1"/>
    <w:basedOn w:val="Normal"/>
    <w:link w:val="Heading1Char"/>
    <w:uiPriority w:val="9"/>
    <w:qFormat/>
    <w:rsid w:val="008D3B7E"/>
    <w:pPr>
      <w:ind w:left="940" w:hanging="721"/>
      <w:outlineLvl w:val="0"/>
    </w:pPr>
    <w:rPr>
      <w:b/>
      <w:bCs/>
      <w:sz w:val="28"/>
      <w:szCs w:val="28"/>
    </w:rPr>
  </w:style>
  <w:style w:type="paragraph" w:styleId="Heading2">
    <w:name w:val="heading 2"/>
    <w:basedOn w:val="Normal"/>
    <w:link w:val="Heading2Char"/>
    <w:uiPriority w:val="9"/>
    <w:unhideWhenUsed/>
    <w:qFormat/>
    <w:rsid w:val="008D3B7E"/>
    <w:pPr>
      <w:ind w:left="940" w:hanging="721"/>
      <w:outlineLvl w:val="1"/>
    </w:pPr>
    <w:rPr>
      <w:b/>
      <w:bCs/>
      <w:sz w:val="24"/>
      <w:szCs w:val="24"/>
    </w:rPr>
  </w:style>
  <w:style w:type="paragraph" w:styleId="Heading3">
    <w:name w:val="heading 3"/>
    <w:basedOn w:val="Normal"/>
    <w:link w:val="Heading3Char"/>
    <w:uiPriority w:val="9"/>
    <w:unhideWhenUsed/>
    <w:qFormat/>
    <w:rsid w:val="008D3B7E"/>
    <w:pPr>
      <w:ind w:left="1301"/>
      <w:outlineLvl w:val="2"/>
    </w:pPr>
    <w:rPr>
      <w:b/>
      <w:bCs/>
      <w:i/>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334E2"/>
    <w:pPr>
      <w:spacing w:after="0" w:line="240" w:lineRule="auto"/>
    </w:pPr>
  </w:style>
  <w:style w:type="paragraph" w:customStyle="1" w:styleId="IRBHeading">
    <w:name w:val="IRB Heading"/>
    <w:basedOn w:val="Normal"/>
    <w:link w:val="IRBHeadingChar"/>
    <w:qFormat/>
    <w:rsid w:val="003333BB"/>
    <w:rPr>
      <w:b/>
      <w:color w:val="000000" w:themeColor="text1"/>
      <w:sz w:val="24"/>
    </w:rPr>
  </w:style>
  <w:style w:type="paragraph" w:customStyle="1" w:styleId="IRBHeadingA">
    <w:name w:val="IRB Heading A"/>
    <w:basedOn w:val="Normal"/>
    <w:link w:val="IRBHeadingAChar"/>
    <w:qFormat/>
    <w:rsid w:val="003333BB"/>
    <w:pPr>
      <w:shd w:val="clear" w:color="auto" w:fill="FFC000" w:themeFill="accent4"/>
      <w:outlineLvl w:val="0"/>
    </w:pPr>
    <w:rPr>
      <w:rFonts w:cs="Cambria"/>
      <w:b/>
      <w:color w:val="000000" w:themeColor="text1"/>
      <w:sz w:val="24"/>
      <w:szCs w:val="24"/>
    </w:rPr>
  </w:style>
  <w:style w:type="character" w:customStyle="1" w:styleId="IRBHeadingChar">
    <w:name w:val="IRB Heading Char"/>
    <w:basedOn w:val="DefaultParagraphFont"/>
    <w:link w:val="IRBHeading"/>
    <w:rsid w:val="003333BB"/>
    <w:rPr>
      <w:rFonts w:ascii="Times New Roman" w:eastAsia="Times New Roman" w:hAnsi="Times New Roman" w:cs="Times New Roman"/>
      <w:b/>
      <w:color w:val="000000" w:themeColor="text1"/>
      <w:sz w:val="24"/>
      <w:lang w:bidi="en-US"/>
    </w:rPr>
  </w:style>
  <w:style w:type="character" w:customStyle="1" w:styleId="IRBHeadingAChar">
    <w:name w:val="IRB Heading A Char"/>
    <w:basedOn w:val="DefaultParagraphFont"/>
    <w:link w:val="IRBHeadingA"/>
    <w:rsid w:val="003333BB"/>
    <w:rPr>
      <w:rFonts w:ascii="Times New Roman" w:eastAsia="Times New Roman" w:hAnsi="Times New Roman" w:cs="Cambria"/>
      <w:b/>
      <w:color w:val="000000" w:themeColor="text1"/>
      <w:sz w:val="24"/>
      <w:szCs w:val="24"/>
      <w:shd w:val="clear" w:color="auto" w:fill="FFC000" w:themeFill="accent4"/>
      <w:lang w:bidi="en-US"/>
    </w:rPr>
  </w:style>
  <w:style w:type="character" w:customStyle="1" w:styleId="Heading1Char">
    <w:name w:val="Heading 1 Char"/>
    <w:basedOn w:val="DefaultParagraphFont"/>
    <w:link w:val="Heading1"/>
    <w:uiPriority w:val="9"/>
    <w:rsid w:val="008D3B7E"/>
    <w:rPr>
      <w:rFonts w:ascii="Times New Roman" w:eastAsia="Times New Roman" w:hAnsi="Times New Roman" w:cs="Times New Roman"/>
      <w:b/>
      <w:bCs/>
      <w:sz w:val="28"/>
      <w:szCs w:val="28"/>
      <w:lang w:bidi="en-US"/>
    </w:rPr>
  </w:style>
  <w:style w:type="character" w:customStyle="1" w:styleId="Heading2Char">
    <w:name w:val="Heading 2 Char"/>
    <w:basedOn w:val="DefaultParagraphFont"/>
    <w:link w:val="Heading2"/>
    <w:uiPriority w:val="9"/>
    <w:rsid w:val="008D3B7E"/>
    <w:rPr>
      <w:rFonts w:ascii="Times New Roman" w:eastAsia="Times New Roman" w:hAnsi="Times New Roman" w:cs="Times New Roman"/>
      <w:b/>
      <w:bCs/>
      <w:sz w:val="24"/>
      <w:szCs w:val="24"/>
      <w:lang w:bidi="en-US"/>
    </w:rPr>
  </w:style>
  <w:style w:type="character" w:customStyle="1" w:styleId="Heading3Char">
    <w:name w:val="Heading 3 Char"/>
    <w:basedOn w:val="DefaultParagraphFont"/>
    <w:link w:val="Heading3"/>
    <w:uiPriority w:val="9"/>
    <w:rsid w:val="008D3B7E"/>
    <w:rPr>
      <w:rFonts w:ascii="Times New Roman" w:eastAsia="Times New Roman" w:hAnsi="Times New Roman" w:cs="Times New Roman"/>
      <w:b/>
      <w:bCs/>
      <w:i/>
      <w:sz w:val="24"/>
      <w:szCs w:val="24"/>
      <w:lang w:bidi="en-US"/>
    </w:rPr>
  </w:style>
  <w:style w:type="paragraph" w:styleId="TOC1">
    <w:name w:val="toc 1"/>
    <w:basedOn w:val="Normal"/>
    <w:uiPriority w:val="1"/>
    <w:qFormat/>
    <w:rsid w:val="008D3B7E"/>
    <w:pPr>
      <w:spacing w:before="140"/>
      <w:ind w:left="492" w:hanging="661"/>
    </w:pPr>
    <w:rPr>
      <w:sz w:val="24"/>
      <w:szCs w:val="24"/>
    </w:rPr>
  </w:style>
  <w:style w:type="paragraph" w:styleId="TOC2">
    <w:name w:val="toc 2"/>
    <w:basedOn w:val="Normal"/>
    <w:uiPriority w:val="1"/>
    <w:qFormat/>
    <w:rsid w:val="008D3B7E"/>
    <w:pPr>
      <w:spacing w:before="140"/>
      <w:ind w:left="1100" w:hanging="661"/>
    </w:pPr>
    <w:rPr>
      <w:sz w:val="24"/>
      <w:szCs w:val="24"/>
    </w:rPr>
  </w:style>
  <w:style w:type="paragraph" w:styleId="BodyText">
    <w:name w:val="Body Text"/>
    <w:basedOn w:val="Normal"/>
    <w:link w:val="BodyTextChar"/>
    <w:uiPriority w:val="1"/>
    <w:qFormat/>
    <w:rsid w:val="008D3B7E"/>
    <w:rPr>
      <w:sz w:val="24"/>
      <w:szCs w:val="24"/>
    </w:rPr>
  </w:style>
  <w:style w:type="character" w:customStyle="1" w:styleId="BodyTextChar">
    <w:name w:val="Body Text Char"/>
    <w:basedOn w:val="DefaultParagraphFont"/>
    <w:link w:val="BodyText"/>
    <w:uiPriority w:val="1"/>
    <w:rsid w:val="008D3B7E"/>
    <w:rPr>
      <w:rFonts w:ascii="Times New Roman" w:eastAsia="Times New Roman" w:hAnsi="Times New Roman" w:cs="Times New Roman"/>
      <w:sz w:val="24"/>
      <w:szCs w:val="24"/>
      <w:lang w:bidi="en-US"/>
    </w:rPr>
  </w:style>
  <w:style w:type="paragraph" w:styleId="ListParagraph">
    <w:name w:val="List Paragraph"/>
    <w:basedOn w:val="Normal"/>
    <w:uiPriority w:val="1"/>
    <w:qFormat/>
    <w:rsid w:val="008D3B7E"/>
    <w:pPr>
      <w:spacing w:before="120"/>
      <w:ind w:left="1301" w:hanging="361"/>
    </w:pPr>
  </w:style>
  <w:style w:type="paragraph" w:customStyle="1" w:styleId="TableParagraph">
    <w:name w:val="Table Paragraph"/>
    <w:basedOn w:val="Normal"/>
    <w:uiPriority w:val="1"/>
    <w:qFormat/>
    <w:rsid w:val="008D3B7E"/>
    <w:pPr>
      <w:spacing w:line="271" w:lineRule="exact"/>
      <w:ind w:left="102"/>
    </w:pPr>
  </w:style>
  <w:style w:type="paragraph" w:styleId="Header">
    <w:name w:val="header"/>
    <w:basedOn w:val="Normal"/>
    <w:link w:val="HeaderChar"/>
    <w:uiPriority w:val="99"/>
    <w:unhideWhenUsed/>
    <w:rsid w:val="008D3B7E"/>
    <w:pPr>
      <w:tabs>
        <w:tab w:val="center" w:pos="4680"/>
        <w:tab w:val="right" w:pos="9360"/>
      </w:tabs>
    </w:pPr>
  </w:style>
  <w:style w:type="character" w:customStyle="1" w:styleId="HeaderChar">
    <w:name w:val="Header Char"/>
    <w:basedOn w:val="DefaultParagraphFont"/>
    <w:link w:val="Header"/>
    <w:uiPriority w:val="99"/>
    <w:rsid w:val="008D3B7E"/>
    <w:rPr>
      <w:rFonts w:ascii="Times New Roman" w:eastAsia="Times New Roman" w:hAnsi="Times New Roman" w:cs="Times New Roman"/>
      <w:lang w:bidi="en-US"/>
    </w:rPr>
  </w:style>
  <w:style w:type="paragraph" w:styleId="Footer">
    <w:name w:val="footer"/>
    <w:basedOn w:val="Normal"/>
    <w:link w:val="FooterChar"/>
    <w:uiPriority w:val="99"/>
    <w:unhideWhenUsed/>
    <w:rsid w:val="008D3B7E"/>
    <w:pPr>
      <w:tabs>
        <w:tab w:val="center" w:pos="4680"/>
        <w:tab w:val="right" w:pos="9360"/>
      </w:tabs>
    </w:pPr>
  </w:style>
  <w:style w:type="character" w:customStyle="1" w:styleId="FooterChar">
    <w:name w:val="Footer Char"/>
    <w:basedOn w:val="DefaultParagraphFont"/>
    <w:link w:val="Footer"/>
    <w:uiPriority w:val="99"/>
    <w:rsid w:val="008D3B7E"/>
    <w:rPr>
      <w:rFonts w:ascii="Times New Roman" w:eastAsia="Times New Roman" w:hAnsi="Times New Roman" w:cs="Times New Roman"/>
      <w:lang w:bidi="en-US"/>
    </w:rPr>
  </w:style>
  <w:style w:type="table" w:styleId="TableGrid">
    <w:name w:val="Table Grid"/>
    <w:basedOn w:val="TableNormal"/>
    <w:uiPriority w:val="39"/>
    <w:rsid w:val="008D3B7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00E9A"/>
    <w:rPr>
      <w:sz w:val="16"/>
      <w:szCs w:val="16"/>
    </w:rPr>
  </w:style>
  <w:style w:type="paragraph" w:styleId="CommentText">
    <w:name w:val="annotation text"/>
    <w:basedOn w:val="Normal"/>
    <w:link w:val="CommentTextChar"/>
    <w:uiPriority w:val="99"/>
    <w:semiHidden/>
    <w:unhideWhenUsed/>
    <w:rsid w:val="00800E9A"/>
    <w:rPr>
      <w:sz w:val="20"/>
      <w:szCs w:val="20"/>
    </w:rPr>
  </w:style>
  <w:style w:type="character" w:customStyle="1" w:styleId="CommentTextChar">
    <w:name w:val="Comment Text Char"/>
    <w:basedOn w:val="DefaultParagraphFont"/>
    <w:link w:val="CommentText"/>
    <w:uiPriority w:val="99"/>
    <w:semiHidden/>
    <w:rsid w:val="00800E9A"/>
    <w:rPr>
      <w:rFonts w:ascii="Times New Roman" w:eastAsia="Times New Roman" w:hAnsi="Times New Roman" w:cs="Times New Roman"/>
      <w:sz w:val="20"/>
      <w:szCs w:val="20"/>
      <w:lang w:bidi="en-US"/>
    </w:rPr>
  </w:style>
  <w:style w:type="paragraph" w:styleId="CommentSubject">
    <w:name w:val="annotation subject"/>
    <w:basedOn w:val="CommentText"/>
    <w:next w:val="CommentText"/>
    <w:link w:val="CommentSubjectChar"/>
    <w:uiPriority w:val="99"/>
    <w:semiHidden/>
    <w:unhideWhenUsed/>
    <w:rsid w:val="00800E9A"/>
    <w:rPr>
      <w:b/>
      <w:bCs/>
    </w:rPr>
  </w:style>
  <w:style w:type="character" w:customStyle="1" w:styleId="CommentSubjectChar">
    <w:name w:val="Comment Subject Char"/>
    <w:basedOn w:val="CommentTextChar"/>
    <w:link w:val="CommentSubject"/>
    <w:uiPriority w:val="99"/>
    <w:semiHidden/>
    <w:rsid w:val="00800E9A"/>
    <w:rPr>
      <w:rFonts w:ascii="Times New Roman" w:eastAsia="Times New Roman" w:hAnsi="Times New Roman" w:cs="Times New Roman"/>
      <w:b/>
      <w:bCs/>
      <w:sz w:val="20"/>
      <w:szCs w:val="20"/>
      <w:lang w:bidi="en-US"/>
    </w:rPr>
  </w:style>
  <w:style w:type="paragraph" w:styleId="Revision">
    <w:name w:val="Revision"/>
    <w:hidden/>
    <w:uiPriority w:val="99"/>
    <w:semiHidden/>
    <w:rsid w:val="00800E9A"/>
    <w:pPr>
      <w:spacing w:after="0" w:line="240" w:lineRule="auto"/>
    </w:pPr>
    <w:rPr>
      <w:rFonts w:ascii="Times New Roman" w:eastAsia="Times New Roman" w:hAnsi="Times New Roman" w:cs="Times New Roman"/>
      <w:lang w:bidi="en-US"/>
    </w:rPr>
  </w:style>
  <w:style w:type="paragraph" w:styleId="BalloonText">
    <w:name w:val="Balloon Text"/>
    <w:basedOn w:val="Normal"/>
    <w:link w:val="BalloonTextChar"/>
    <w:uiPriority w:val="99"/>
    <w:semiHidden/>
    <w:unhideWhenUsed/>
    <w:rsid w:val="00800E9A"/>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00E9A"/>
    <w:rPr>
      <w:rFonts w:ascii="Segoe UI" w:eastAsia="Times New Roman" w:hAnsi="Segoe UI" w:cs="Segoe UI"/>
      <w:sz w:val="18"/>
      <w:szCs w:val="18"/>
      <w:lang w:bidi="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http://www.hsc.wvu.edu/media/8038/prmc-member-roster.pdf"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http://www.hsc.wvu.edu/media/7806/blue-book-v4-022016.pdf"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www.hsc.wvu.edu/media/7801/data-safety-and-toxicity-committee-members.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24301F80733247850447C86B5A3368" ma:contentTypeVersion="20" ma:contentTypeDescription="Create a new document." ma:contentTypeScope="" ma:versionID="35a2db002677a916000d79a9b2042a22">
  <xsd:schema xmlns:xsd="http://www.w3.org/2001/XMLSchema" xmlns:xs="http://www.w3.org/2001/XMLSchema" xmlns:p="http://schemas.microsoft.com/office/2006/metadata/properties" xmlns:ns2="b6d62505-c5aa-4777-8481-5077dadc4fcf" xmlns:ns3="f3005829-e119-41cf-ace8-91f50705ecc5" targetNamespace="http://schemas.microsoft.com/office/2006/metadata/properties" ma:root="true" ma:fieldsID="04f47c3e9ce2d0895a922c867e99c82c" ns2:_="" ns3:_="">
    <xsd:import namespace="b6d62505-c5aa-4777-8481-5077dadc4fcf"/>
    <xsd:import namespace="f3005829-e119-41cf-ace8-91f50705ecc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Date" minOccurs="0"/>
                <xsd:element ref="ns2:Person" minOccurs="0"/>
                <xsd:element ref="ns2:Doc_x0020_Type"/>
                <xsd:element ref="ns2:Year"/>
                <xsd:element ref="ns3:SharedWithUsers" minOccurs="0"/>
                <xsd:element ref="ns3:SharedWithDetails" minOccurs="0"/>
                <xsd:element ref="ns2:OHRPWebsi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b6d62505-c5aa-4777-8481-5077dadc4fc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Date" ma:index="17" nillable="true" ma:displayName="Date" ma:default="[today]" ma:format="DateOnly" ma:internalName="Date">
      <xsd:simpleType>
        <xsd:restriction base="dms:DateTime"/>
      </xsd:simpleType>
    </xsd:element>
    <xsd:element name="Person" ma:index="18" nillable="true" ma:displayName="Person" ma:description="Enter the name of the person who created the document" ma:format="Dropdown" ma:list="UserInfo" ma:SharePointGroup="0" ma:internalName="Person">
      <xsd:complexType>
        <xsd:complexContent>
          <xsd:extension base="dms:User">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_x0020_Type" ma:index="19" ma:displayName="Doc Type" ma:default="Other" ma:format="RadioButtons" ma:internalName="Doc_x0020_Type">
      <xsd:simpleType>
        <xsd:restriction base="dms:Choice">
          <xsd:enumeration value="SOP"/>
          <xsd:enumeration value="Guidance"/>
          <xsd:enumeration value="Form"/>
          <xsd:enumeration value="Invoice"/>
          <xsd:enumeration value="Accreditation"/>
          <xsd:enumeration value="Request"/>
          <xsd:enumeration value="Audit"/>
          <xsd:enumeration value="Logo"/>
          <xsd:enumeration value="Complaint"/>
          <xsd:enumeration value="Concern"/>
          <xsd:enumeration value="Other"/>
        </xsd:restriction>
      </xsd:simpleType>
    </xsd:element>
    <xsd:element name="Year" ma:index="20" ma:displayName="Year Created" ma:default="2020" ma:description="The year the document was created" ma:format="RadioButtons" ma:internalName="Year">
      <xsd:simpleType>
        <xsd:restriction base="dms:Choice">
          <xsd:enumeration value="2020"/>
          <xsd:enumeration value="2019"/>
          <xsd:enumeration value="2018"/>
          <xsd:enumeration value="2017"/>
          <xsd:enumeration value="2016"/>
          <xsd:enumeration value="2015"/>
          <xsd:enumeration value="2014"/>
          <xsd:enumeration value="2013"/>
          <xsd:enumeration value="2012"/>
          <xsd:enumeration value="2011"/>
          <xsd:enumeration value="2010"/>
          <xsd:enumeration value="Before 2010"/>
        </xsd:restriction>
      </xsd:simpleType>
    </xsd:element>
    <xsd:element name="OHRPWebsite" ma:index="23" nillable="true" ma:displayName="OHRP Website" ma:default="No" ma:format="Dropdown" ma:internalName="OHRPWebsite">
      <xsd:simpleType>
        <xsd:restriction base="dms:Choice">
          <xsd:enumeration value="Yes"/>
          <xsd:enumeration value="No"/>
        </xsd:restriction>
      </xsd:simpleType>
    </xsd:element>
  </xsd:schema>
  <xsd:schema xmlns:xsd="http://www.w3.org/2001/XMLSchema" xmlns:xs="http://www.w3.org/2001/XMLSchema" xmlns:dms="http://schemas.microsoft.com/office/2006/documentManagement/types" xmlns:pc="http://schemas.microsoft.com/office/infopath/2007/PartnerControls" targetNamespace="f3005829-e119-41cf-ace8-91f50705ecc5" elementFormDefault="qualified">
    <xsd:import namespace="http://schemas.microsoft.com/office/2006/documentManagement/types"/>
    <xsd:import namespace="http://schemas.microsoft.com/office/infopath/2007/PartnerControls"/>
    <xsd:element name="SharedWithUsers" ma:index="2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OHRPWebsite xmlns="b6d62505-c5aa-4777-8481-5077dadc4fcf">No</OHRPWebsite>
    <Date xmlns="b6d62505-c5aa-4777-8481-5077dadc4fcf">2020-02-06T14:21:25+00:00</Date>
    <Person xmlns="b6d62505-c5aa-4777-8481-5077dadc4fcf">
      <UserInfo>
        <DisplayName/>
        <AccountId xsi:nil="true"/>
        <AccountType/>
      </UserInfo>
    </Person>
    <Doc_x0020_Type xmlns="b6d62505-c5aa-4777-8481-5077dadc4fcf">Other</Doc_x0020_Type>
    <Year xmlns="b6d62505-c5aa-4777-8481-5077dadc4fcf">2020</Year>
  </documentManagement>
</p:properties>
</file>

<file path=customXml/itemProps1.xml><?xml version="1.0" encoding="utf-8"?>
<ds:datastoreItem xmlns:ds="http://schemas.openxmlformats.org/officeDocument/2006/customXml" ds:itemID="{D21F4AC2-3B1C-49DA-A387-39E8BBC01DE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b6d62505-c5aa-4777-8481-5077dadc4fcf"/>
    <ds:schemaRef ds:uri="f3005829-e119-41cf-ace8-91f50705ec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2413C320-9FE0-490B-957A-ED54E729995F}">
  <ds:schemaRefs>
    <ds:schemaRef ds:uri="http://schemas.microsoft.com/sharepoint/v3/contenttype/forms"/>
  </ds:schemaRefs>
</ds:datastoreItem>
</file>

<file path=customXml/itemProps3.xml><?xml version="1.0" encoding="utf-8"?>
<ds:datastoreItem xmlns:ds="http://schemas.openxmlformats.org/officeDocument/2006/customXml" ds:itemID="{893906AE-352F-4A28-89F3-6F5785277E39}">
  <ds:schemaRefs>
    <ds:schemaRef ds:uri="http://schemas.microsoft.com/office/2006/metadata/properties"/>
    <ds:schemaRef ds:uri="http://schemas.microsoft.com/office/infopath/2007/PartnerControls"/>
    <ds:schemaRef ds:uri="b6d62505-c5aa-4777-8481-5077dadc4fcf"/>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15</Pages>
  <Words>3993</Words>
  <Characters>22765</Characters>
  <Application>Microsoft Office Word</Application>
  <DocSecurity>0</DocSecurity>
  <Lines>189</Lines>
  <Paragraphs>53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26705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Allison McCardle</dc:creator>
  <cp:keywords/>
  <dc:description/>
  <cp:lastModifiedBy>Allison Mccardle</cp:lastModifiedBy>
  <cp:revision>2</cp:revision>
  <dcterms:created xsi:type="dcterms:W3CDTF">2020-04-23T14:06:00Z</dcterms:created>
  <dcterms:modified xsi:type="dcterms:W3CDTF">2020-04-23T14:06:00Z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0x0101006224301F80733247850447C86B5A3368</vt:lpwstr>
  </property>
</Properties>
</file>