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7CAACF8A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884D82">
        <w:rPr>
          <w:rFonts w:ascii="Arial" w:hAnsi="Arial" w:cs="Arial"/>
        </w:rPr>
        <w:t>030</w:t>
      </w:r>
      <w:r w:rsidRPr="00E03D8D">
        <w:rPr>
          <w:rFonts w:ascii="Arial" w:hAnsi="Arial" w:cs="Arial"/>
        </w:rPr>
        <w:t xml:space="preserve"> |</w:t>
      </w:r>
      <w:r w:rsidR="00884D82">
        <w:rPr>
          <w:rFonts w:ascii="Arial" w:hAnsi="Arial" w:cs="Arial"/>
        </w:rPr>
        <w:t xml:space="preserve"> </w:t>
      </w:r>
      <w:r w:rsidR="00095E4C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FA4D20">
        <w:rPr>
          <w:rFonts w:ascii="Arial" w:hAnsi="Arial" w:cs="Arial"/>
        </w:rPr>
        <w:t>1</w:t>
      </w:r>
      <w:r w:rsidR="00095E4C">
        <w:rPr>
          <w:rFonts w:ascii="Arial" w:hAnsi="Arial" w:cs="Arial"/>
        </w:rPr>
        <w:t>5</w:t>
      </w:r>
      <w:r>
        <w:rPr>
          <w:rFonts w:ascii="Arial" w:hAnsi="Arial" w:cs="Arial"/>
        </w:rPr>
        <w:t>/2025</w:t>
      </w:r>
      <w:r w:rsidR="00884D82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EF0C51" w:rsidRPr="00EF0C51">
        <w:rPr>
          <w:rFonts w:ascii="Arial" w:hAnsi="Arial" w:cs="Arial"/>
        </w:rPr>
        <w:t>Owne</w:t>
      </w:r>
      <w:r w:rsidR="007448B7">
        <w:rPr>
          <w:rFonts w:ascii="Arial" w:hAnsi="Arial" w:cs="Arial"/>
        </w:rPr>
        <w:t xml:space="preserve">r: </w:t>
      </w:r>
      <w:r w:rsidR="00FA4D20">
        <w:rPr>
          <w:rFonts w:ascii="Arial" w:hAnsi="Arial" w:cs="Arial"/>
        </w:rPr>
        <w:t>WVU OHRP Director</w:t>
      </w:r>
      <w:r w:rsidR="007448B7">
        <w:rPr>
          <w:rFonts w:ascii="Arial" w:hAnsi="Arial" w:cs="Arial"/>
        </w:rPr>
        <w:t xml:space="preserve"> | Approver: </w:t>
      </w:r>
      <w:r w:rsidR="00FA4D20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177F1B4F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884D82">
        <w:rPr>
          <w:szCs w:val="32"/>
        </w:rPr>
        <w:t xml:space="preserve">Designated </w:t>
      </w:r>
      <w:r w:rsidR="00095E4C">
        <w:rPr>
          <w:szCs w:val="32"/>
        </w:rPr>
        <w:t xml:space="preserve">&amp; Staff </w:t>
      </w:r>
      <w:r w:rsidR="00884D82">
        <w:rPr>
          <w:szCs w:val="32"/>
        </w:rPr>
        <w:t>Reviewers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27F4C97E" w14:textId="3FE8E010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This procedure establishes the process for </w:t>
      </w:r>
      <w:r w:rsidR="00095E4C">
        <w:rPr>
          <w:rFonts w:cs="Arial"/>
          <w:sz w:val="22"/>
          <w:szCs w:val="22"/>
        </w:rPr>
        <w:t>documenting</w:t>
      </w:r>
      <w:r w:rsidRPr="00884D82">
        <w:rPr>
          <w:rFonts w:cs="Arial"/>
          <w:sz w:val="22"/>
          <w:szCs w:val="22"/>
        </w:rPr>
        <w:t xml:space="preserve"> who can conduct </w:t>
      </w:r>
      <w:r w:rsidRPr="00884D82">
        <w:rPr>
          <w:rFonts w:cs="Arial"/>
          <w:sz w:val="22"/>
          <w:szCs w:val="22"/>
          <w:u w:val="double"/>
        </w:rPr>
        <w:t>Non-Committee Reviews</w:t>
      </w:r>
    </w:p>
    <w:p w14:paraId="74E2B119" w14:textId="63E89443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The process begins when the IRB chair designate</w:t>
      </w:r>
      <w:r w:rsidR="00EF2AFA">
        <w:rPr>
          <w:rFonts w:cs="Arial"/>
          <w:sz w:val="22"/>
          <w:szCs w:val="22"/>
        </w:rPr>
        <w:t>s</w:t>
      </w:r>
      <w:r w:rsidRPr="00884D82">
        <w:rPr>
          <w:rFonts w:cs="Arial"/>
          <w:sz w:val="22"/>
          <w:szCs w:val="22"/>
        </w:rPr>
        <w:t xml:space="preserve"> an </w:t>
      </w:r>
      <w:r w:rsidRPr="00884D82">
        <w:rPr>
          <w:rFonts w:cs="Arial"/>
          <w:sz w:val="22"/>
          <w:szCs w:val="22"/>
          <w:u w:val="double"/>
        </w:rPr>
        <w:t>Experienced IRB Member</w:t>
      </w:r>
      <w:r w:rsidR="00EF2AFA">
        <w:rPr>
          <w:rFonts w:cs="Arial"/>
          <w:sz w:val="22"/>
          <w:szCs w:val="22"/>
          <w:u w:val="double"/>
        </w:rPr>
        <w:t>, or the IRB manager determines an IRB staff member can as a Staff Review,</w:t>
      </w:r>
      <w:r w:rsidRPr="00884D82">
        <w:rPr>
          <w:rFonts w:cs="Arial"/>
          <w:sz w:val="22"/>
          <w:szCs w:val="22"/>
        </w:rPr>
        <w:t xml:space="preserve"> to conduct </w:t>
      </w:r>
      <w:r w:rsidRPr="00884D82">
        <w:rPr>
          <w:rFonts w:cs="Arial"/>
          <w:sz w:val="22"/>
          <w:szCs w:val="22"/>
          <w:u w:val="double"/>
        </w:rPr>
        <w:t>Non-Committee Reviews</w:t>
      </w:r>
      <w:r w:rsidRPr="00884D82">
        <w:rPr>
          <w:rFonts w:cs="Arial"/>
          <w:sz w:val="22"/>
          <w:szCs w:val="22"/>
        </w:rPr>
        <w:t>.</w:t>
      </w:r>
    </w:p>
    <w:p w14:paraId="6BA2EC2D" w14:textId="6C22529D" w:rsidR="0034262A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 xml:space="preserve">The process ends when the </w:t>
      </w:r>
      <w:r w:rsidR="00EF2AFA">
        <w:rPr>
          <w:rFonts w:cs="Arial"/>
          <w:sz w:val="22"/>
          <w:szCs w:val="22"/>
        </w:rPr>
        <w:t>Experience</w:t>
      </w:r>
      <w:r w:rsidR="003A404D">
        <w:rPr>
          <w:rFonts w:cs="Arial"/>
          <w:sz w:val="22"/>
          <w:szCs w:val="22"/>
        </w:rPr>
        <w:t xml:space="preserve">d </w:t>
      </w:r>
      <w:r w:rsidRPr="00884D82">
        <w:rPr>
          <w:rFonts w:cs="Arial"/>
          <w:sz w:val="22"/>
          <w:szCs w:val="22"/>
        </w:rPr>
        <w:t xml:space="preserve">IRB </w:t>
      </w:r>
      <w:r w:rsidR="003A404D">
        <w:rPr>
          <w:rFonts w:cs="Arial"/>
          <w:sz w:val="22"/>
          <w:szCs w:val="22"/>
        </w:rPr>
        <w:t>M</w:t>
      </w:r>
      <w:r w:rsidRPr="00884D82">
        <w:rPr>
          <w:rFonts w:cs="Arial"/>
          <w:sz w:val="22"/>
          <w:szCs w:val="22"/>
        </w:rPr>
        <w:t>ember</w:t>
      </w:r>
      <w:r w:rsidR="003A404D">
        <w:rPr>
          <w:rFonts w:cs="Arial"/>
          <w:sz w:val="22"/>
          <w:szCs w:val="22"/>
        </w:rPr>
        <w:t xml:space="preserve"> or Staff Reviewer</w:t>
      </w:r>
      <w:r w:rsidRPr="00884D82">
        <w:rPr>
          <w:rFonts w:cs="Arial"/>
          <w:sz w:val="22"/>
          <w:szCs w:val="22"/>
        </w:rPr>
        <w:t xml:space="preserve"> has been noted in the </w:t>
      </w:r>
      <w:r w:rsidR="00941BD4">
        <w:rPr>
          <w:rFonts w:cs="Arial"/>
          <w:sz w:val="22"/>
          <w:szCs w:val="22"/>
        </w:rPr>
        <w:t>corresponding</w:t>
      </w:r>
      <w:r w:rsidR="00941BD4" w:rsidRPr="00884D82">
        <w:rPr>
          <w:rFonts w:cs="Arial"/>
          <w:sz w:val="22"/>
          <w:szCs w:val="22"/>
        </w:rPr>
        <w:t xml:space="preserve"> </w:t>
      </w:r>
      <w:r w:rsidRPr="00884D82">
        <w:rPr>
          <w:rFonts w:cs="Arial"/>
          <w:sz w:val="22"/>
          <w:szCs w:val="22"/>
        </w:rPr>
        <w:t xml:space="preserve">roster to conduct </w:t>
      </w:r>
      <w:r w:rsidRPr="00884D82">
        <w:rPr>
          <w:rFonts w:cs="Arial"/>
          <w:sz w:val="22"/>
          <w:szCs w:val="22"/>
          <w:u w:val="double"/>
        </w:rPr>
        <w:t>Non-Committee Reviews.</w:t>
      </w:r>
    </w:p>
    <w:p w14:paraId="2F59A332" w14:textId="77777777" w:rsidR="00326316" w:rsidRPr="00D926D2" w:rsidRDefault="00326316" w:rsidP="00884D82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5901E9E5" w:rsidR="00326316" w:rsidRPr="0034262A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638FEC70" w14:textId="39D602AD" w:rsidR="00326316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IRB rosters are maintained using HRP-601 - DATABASE - IRB Roster.</w:t>
      </w:r>
    </w:p>
    <w:p w14:paraId="5425E9CC" w14:textId="4ABF2E05" w:rsidR="00941BD4" w:rsidRPr="00774EF8" w:rsidRDefault="00941BD4" w:rsidP="00774EF8">
      <w:pPr>
        <w:pStyle w:val="SOPLevel2"/>
        <w:rPr>
          <w:rFonts w:cs="Arial"/>
        </w:rPr>
      </w:pPr>
      <w:r>
        <w:rPr>
          <w:rFonts w:cs="Arial"/>
          <w:sz w:val="22"/>
          <w:szCs w:val="22"/>
        </w:rPr>
        <w:t>Staff Reviewer rosters are maintained using HRP</w:t>
      </w:r>
      <w:r w:rsidR="001F75F8" w:rsidRPr="001F75F8">
        <w:rPr>
          <w:rFonts w:cs="Arial"/>
        </w:rPr>
        <w:t>-602 - DATABASE - Staff Reviewer Roster.</w:t>
      </w:r>
    </w:p>
    <w:p w14:paraId="3537CC4B" w14:textId="6EE2E4E1" w:rsidR="007F34C6" w:rsidRDefault="007F34C6" w:rsidP="00884D8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IRB members are considered eligible to serve as </w:t>
      </w:r>
      <w:proofErr w:type="gramStart"/>
      <w:r>
        <w:rPr>
          <w:rFonts w:cs="Arial"/>
          <w:sz w:val="22"/>
          <w:szCs w:val="22"/>
        </w:rPr>
        <w:t>a designated reviewer</w:t>
      </w:r>
      <w:proofErr w:type="gramEnd"/>
      <w:r>
        <w:rPr>
          <w:rFonts w:cs="Arial"/>
          <w:sz w:val="22"/>
          <w:szCs w:val="22"/>
        </w:rPr>
        <w:t xml:space="preserve"> upon completion of required training and orientation. This includes IRB staff designated as alternate IRB members.</w:t>
      </w:r>
    </w:p>
    <w:p w14:paraId="5D247902" w14:textId="733FB19D" w:rsidR="00A3027A" w:rsidRPr="00884D82" w:rsidRDefault="00A3027A" w:rsidP="00884D8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</w:t>
      </w:r>
      <w:r w:rsidR="00774EF8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 xml:space="preserve"> staff may be</w:t>
      </w:r>
      <w:r w:rsidR="00EA550D">
        <w:rPr>
          <w:rFonts w:cs="Arial"/>
          <w:sz w:val="22"/>
          <w:szCs w:val="22"/>
        </w:rPr>
        <w:t xml:space="preserve"> </w:t>
      </w:r>
      <w:r w:rsidR="00EB1883">
        <w:rPr>
          <w:rFonts w:cs="Arial"/>
          <w:sz w:val="22"/>
          <w:szCs w:val="22"/>
        </w:rPr>
        <w:t xml:space="preserve">designated as </w:t>
      </w:r>
      <w:r w:rsidR="00EA550D">
        <w:rPr>
          <w:rFonts w:cs="Arial"/>
          <w:sz w:val="22"/>
          <w:szCs w:val="22"/>
        </w:rPr>
        <w:t xml:space="preserve">IRB members and designated reviewers. IRB staff responsible for determinations of </w:t>
      </w:r>
      <w:proofErr w:type="gramStart"/>
      <w:r w:rsidR="00EA550D">
        <w:rPr>
          <w:rFonts w:cs="Arial"/>
          <w:sz w:val="22"/>
          <w:szCs w:val="22"/>
        </w:rPr>
        <w:t>not human</w:t>
      </w:r>
      <w:proofErr w:type="gramEnd"/>
      <w:r w:rsidR="00EA550D">
        <w:rPr>
          <w:rFonts w:cs="Arial"/>
          <w:sz w:val="22"/>
          <w:szCs w:val="22"/>
        </w:rPr>
        <w:t xml:space="preserve"> research and not engaged may or may not be IRB members but can complete non-committee reviews that do not require IRB review</w:t>
      </w:r>
      <w:r w:rsidR="007416A3">
        <w:rPr>
          <w:rFonts w:cs="Arial"/>
          <w:sz w:val="22"/>
          <w:szCs w:val="22"/>
        </w:rPr>
        <w:t xml:space="preserve"> as staff reviewers</w:t>
      </w:r>
      <w:r w:rsidR="00EA550D">
        <w:rPr>
          <w:rFonts w:cs="Arial"/>
          <w:sz w:val="22"/>
          <w:szCs w:val="22"/>
        </w:rPr>
        <w:t>.</w:t>
      </w:r>
    </w:p>
    <w:p w14:paraId="236E6220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30C28137" w:rsidR="00326316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4BEC8215" w14:textId="68DE011C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884D82">
        <w:rPr>
          <w:rFonts w:cs="Arial"/>
          <w:sz w:val="22"/>
          <w:szCs w:val="22"/>
        </w:rPr>
        <w:t xml:space="preserve">Obtain from the IRB chair the name of the IRB member </w:t>
      </w:r>
      <w:r w:rsidR="00FE2633">
        <w:rPr>
          <w:rFonts w:cs="Arial"/>
          <w:sz w:val="22"/>
          <w:szCs w:val="22"/>
        </w:rPr>
        <w:t xml:space="preserve">(or IRB staff member) </w:t>
      </w:r>
      <w:r w:rsidRPr="00884D82">
        <w:rPr>
          <w:rFonts w:cs="Arial"/>
          <w:sz w:val="22"/>
          <w:szCs w:val="22"/>
        </w:rPr>
        <w:t xml:space="preserve">designated to conduct </w:t>
      </w:r>
      <w:r w:rsidRPr="00884D82">
        <w:rPr>
          <w:rFonts w:cs="Arial"/>
          <w:sz w:val="22"/>
          <w:szCs w:val="22"/>
          <w:u w:val="double"/>
        </w:rPr>
        <w:t>Non-Committee Reviews.</w:t>
      </w:r>
    </w:p>
    <w:p w14:paraId="0757980D" w14:textId="1958B6B5" w:rsidR="00884D82" w:rsidRPr="00884D82" w:rsidRDefault="00884D82" w:rsidP="00774EF8">
      <w:pPr>
        <w:pStyle w:val="SOPLevel3"/>
      </w:pPr>
      <w:r w:rsidRPr="00884D82">
        <w:t xml:space="preserve">Verify that the IRB member is an </w:t>
      </w:r>
      <w:r w:rsidRPr="00884D82">
        <w:rPr>
          <w:u w:val="double"/>
        </w:rPr>
        <w:t>Experienced IRB Member.</w:t>
      </w:r>
      <w:r w:rsidR="00FE2633">
        <w:rPr>
          <w:u w:val="double"/>
        </w:rPr>
        <w:t xml:space="preserve"> </w:t>
      </w:r>
    </w:p>
    <w:p w14:paraId="4670F174" w14:textId="77777777" w:rsidR="00884D82" w:rsidRDefault="00884D82" w:rsidP="00EC52AE">
      <w:pPr>
        <w:pStyle w:val="SOPLevel3"/>
        <w:rPr>
          <w:u w:val="double"/>
        </w:rPr>
      </w:pPr>
      <w:r w:rsidRPr="00884D82">
        <w:t xml:space="preserve">Update HRP-601 - DATABASE - IRB Roster to indicate that the IRB member is a </w:t>
      </w:r>
      <w:r w:rsidRPr="00884D82">
        <w:rPr>
          <w:u w:val="double"/>
        </w:rPr>
        <w:t>Designated Reviewer.</w:t>
      </w:r>
    </w:p>
    <w:p w14:paraId="304F3821" w14:textId="77777777" w:rsidR="00F741BC" w:rsidRDefault="00F741BC" w:rsidP="00F741BC">
      <w:pPr>
        <w:pStyle w:val="SOPLevel3"/>
      </w:pPr>
      <w:proofErr w:type="gramStart"/>
      <w:r>
        <w:t>Navigate to</w:t>
      </w:r>
      <w:proofErr w:type="gramEnd"/>
      <w:r>
        <w:t xml:space="preserve"> the Meetings menu. In the “Committees tab”, click on the applicable IRB Committee. Execute the “Update Eligible Designated Reviewers” activity to indicate that the IRB member is a </w:t>
      </w:r>
      <w:r>
        <w:rPr>
          <w:u w:val="double"/>
        </w:rPr>
        <w:t>Designated Reviewer</w:t>
      </w:r>
      <w:r>
        <w:t>.</w:t>
      </w:r>
    </w:p>
    <w:p w14:paraId="3DD79C99" w14:textId="77777777" w:rsidR="003C4B4B" w:rsidRDefault="003C4B4B" w:rsidP="003C4B4B">
      <w:pPr>
        <w:pStyle w:val="SOPLevel2"/>
      </w:pPr>
      <w:r>
        <w:t xml:space="preserve">Obtain from the IRB manager the name of the IRB staff member eligible to act as a </w:t>
      </w:r>
      <w:r>
        <w:rPr>
          <w:u w:val="double"/>
        </w:rPr>
        <w:t>Staff Reviewer</w:t>
      </w:r>
      <w:r>
        <w:t xml:space="preserve"> to conduct certain </w:t>
      </w:r>
      <w:r>
        <w:rPr>
          <w:u w:val="double"/>
        </w:rPr>
        <w:t>Non-Committee Reviews</w:t>
      </w:r>
      <w:r>
        <w:t>.</w:t>
      </w:r>
    </w:p>
    <w:p w14:paraId="73AE3F5C" w14:textId="77777777" w:rsidR="00B30838" w:rsidRDefault="00B30838" w:rsidP="00B30838">
      <w:pPr>
        <w:pStyle w:val="SOPLevel3"/>
      </w:pPr>
      <w:r>
        <w:t xml:space="preserve">Update HRP-602-DATABASE-Staff Reviewer to indicate that the IRB staff member is a </w:t>
      </w:r>
      <w:r>
        <w:rPr>
          <w:u w:val="double"/>
        </w:rPr>
        <w:t>Staff Reviewer</w:t>
      </w:r>
      <w:r>
        <w:t>.</w:t>
      </w:r>
    </w:p>
    <w:p w14:paraId="46FE9BD2" w14:textId="36FB6AB4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0AC943E" w14:textId="4FD788FD" w:rsidR="00326316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HRP-601 - DATABASE - IRB Roster</w:t>
      </w:r>
    </w:p>
    <w:p w14:paraId="7BB17131" w14:textId="77777777" w:rsidR="00EF0F51" w:rsidRDefault="00EF0F51" w:rsidP="00EF0F51">
      <w:pPr>
        <w:pStyle w:val="SOPLevel2"/>
      </w:pPr>
      <w:r>
        <w:t>HRP-602 - DATABASE- Staff Reviewer</w:t>
      </w:r>
    </w:p>
    <w:p w14:paraId="48F9112E" w14:textId="77777777" w:rsidR="007E4333" w:rsidRPr="00884D82" w:rsidRDefault="007E4333" w:rsidP="00774EF8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p w14:paraId="67BFD6E7" w14:textId="77777777" w:rsidR="00326316" w:rsidRPr="0034262A" w:rsidRDefault="00326316" w:rsidP="00884D82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lastRenderedPageBreak/>
        <w:t>REFERENCES</w:t>
      </w:r>
    </w:p>
    <w:p w14:paraId="09C465E4" w14:textId="77777777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21 CFR §56.110(b).</w:t>
      </w:r>
    </w:p>
    <w:p w14:paraId="4E858B55" w14:textId="77777777" w:rsidR="00884D82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45 CFR §46.110(b).</w:t>
      </w:r>
    </w:p>
    <w:p w14:paraId="47C4A902" w14:textId="2F48043E" w:rsidR="002B681F" w:rsidRPr="00884D82" w:rsidRDefault="00884D82" w:rsidP="00884D82">
      <w:pPr>
        <w:pStyle w:val="SOPLevel2"/>
        <w:spacing w:line="276" w:lineRule="auto"/>
        <w:rPr>
          <w:rFonts w:cs="Arial"/>
          <w:sz w:val="22"/>
          <w:szCs w:val="22"/>
        </w:rPr>
      </w:pPr>
      <w:r w:rsidRPr="00884D82">
        <w:rPr>
          <w:rFonts w:cs="Arial"/>
          <w:sz w:val="22"/>
          <w:szCs w:val="22"/>
        </w:rPr>
        <w:t>AAHRPP elements I.1.A, I-9, II.2.A, II.2.B, II.2.D, II.2.F-II.</w:t>
      </w:r>
      <w:proofErr w:type="gramStart"/>
      <w:r w:rsidRPr="00884D82">
        <w:rPr>
          <w:rFonts w:cs="Arial"/>
          <w:sz w:val="22"/>
          <w:szCs w:val="22"/>
        </w:rPr>
        <w:t>2.F.</w:t>
      </w:r>
      <w:proofErr w:type="gramEnd"/>
      <w:r w:rsidRPr="00884D82">
        <w:rPr>
          <w:rFonts w:cs="Arial"/>
          <w:sz w:val="22"/>
          <w:szCs w:val="22"/>
        </w:rPr>
        <w:t>3</w:t>
      </w:r>
    </w:p>
    <w:sectPr w:rsidR="002B681F" w:rsidRPr="00884D82" w:rsidSect="00C60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B627" w14:textId="77777777" w:rsidR="00E76E5B" w:rsidRDefault="00E76E5B" w:rsidP="00855EE6">
      <w:pPr>
        <w:spacing w:after="0" w:line="240" w:lineRule="auto"/>
      </w:pPr>
      <w:r>
        <w:separator/>
      </w:r>
    </w:p>
  </w:endnote>
  <w:endnote w:type="continuationSeparator" w:id="0">
    <w:p w14:paraId="47832BD0" w14:textId="77777777" w:rsidR="00E76E5B" w:rsidRDefault="00E76E5B" w:rsidP="00855EE6">
      <w:pPr>
        <w:spacing w:after="0" w:line="240" w:lineRule="auto"/>
      </w:pPr>
      <w:r>
        <w:continuationSeparator/>
      </w:r>
    </w:p>
  </w:endnote>
  <w:endnote w:type="continuationNotice" w:id="1">
    <w:p w14:paraId="13A81FB3" w14:textId="77777777" w:rsidR="00E76E5B" w:rsidRDefault="00E76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567E" w14:textId="77777777" w:rsidR="00AD2272" w:rsidRDefault="00AD2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3598969" w14:textId="4832F480" w:rsidR="00285F98" w:rsidRPr="00276526" w:rsidRDefault="00285F98" w:rsidP="00285F9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C742C">
      <w:rPr>
        <w:b/>
        <w:bCs/>
      </w:rPr>
      <w:t xml:space="preserve"> </w:t>
    </w:r>
    <w:r w:rsidRPr="00276526">
      <w:rPr>
        <w:b/>
        <w:bCs/>
      </w:rPr>
      <w:t>©</w:t>
    </w:r>
    <w:r w:rsidR="003F363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CF96B9E" w14:textId="77777777" w:rsidR="00285F98" w:rsidRPr="00276526" w:rsidRDefault="00285F98" w:rsidP="00285F9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CB52" w14:textId="77777777" w:rsidR="007B1A29" w:rsidRPr="00915462" w:rsidRDefault="007B1A29" w:rsidP="007B1A2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1F635EF" w14:textId="7ABEB3A1" w:rsidR="00285F98" w:rsidRPr="00276526" w:rsidRDefault="00285F98" w:rsidP="00285F98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C742C">
      <w:rPr>
        <w:b/>
        <w:bCs/>
      </w:rPr>
      <w:t xml:space="preserve"> </w:t>
    </w:r>
    <w:r w:rsidRPr="00276526">
      <w:rPr>
        <w:b/>
        <w:bCs/>
      </w:rPr>
      <w:t>©</w:t>
    </w:r>
    <w:r w:rsidR="003F363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D7FD4A8" w14:textId="77777777" w:rsidR="00285F98" w:rsidRPr="00276526" w:rsidRDefault="00285F98" w:rsidP="00285F98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3C4B" w14:textId="77777777" w:rsidR="00E76E5B" w:rsidRDefault="00E76E5B" w:rsidP="00855EE6">
      <w:pPr>
        <w:spacing w:after="0" w:line="240" w:lineRule="auto"/>
      </w:pPr>
      <w:r>
        <w:separator/>
      </w:r>
    </w:p>
  </w:footnote>
  <w:footnote w:type="continuationSeparator" w:id="0">
    <w:p w14:paraId="4691B2AB" w14:textId="77777777" w:rsidR="00E76E5B" w:rsidRDefault="00E76E5B" w:rsidP="00855EE6">
      <w:pPr>
        <w:spacing w:after="0" w:line="240" w:lineRule="auto"/>
      </w:pPr>
      <w:r>
        <w:continuationSeparator/>
      </w:r>
    </w:p>
  </w:footnote>
  <w:footnote w:type="continuationNotice" w:id="1">
    <w:p w14:paraId="746C2BFC" w14:textId="77777777" w:rsidR="00E76E5B" w:rsidRDefault="00E76E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B856" w14:textId="77777777" w:rsidR="00AD2272" w:rsidRDefault="00AD2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1C9672FC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EAE" w14:textId="2478808B" w:rsidR="00F50B95" w:rsidRDefault="00AD2272" w:rsidP="00F50B95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B1C0DDD" wp14:editId="0F52006A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95036" w14:textId="77777777" w:rsidR="00397D6B" w:rsidRDefault="00397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C7F20D2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97089519">
    <w:abstractNumId w:val="1"/>
  </w:num>
  <w:num w:numId="2" w16cid:durableId="1141270900">
    <w:abstractNumId w:val="2"/>
  </w:num>
  <w:num w:numId="3" w16cid:durableId="1251694934">
    <w:abstractNumId w:val="0"/>
  </w:num>
  <w:num w:numId="4" w16cid:durableId="824929017">
    <w:abstractNumId w:val="3"/>
  </w:num>
  <w:num w:numId="5" w16cid:durableId="884368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628B4"/>
    <w:rsid w:val="00073852"/>
    <w:rsid w:val="00082AFF"/>
    <w:rsid w:val="00095BC7"/>
    <w:rsid w:val="00095E4C"/>
    <w:rsid w:val="00097C68"/>
    <w:rsid w:val="000E220B"/>
    <w:rsid w:val="000F5F1B"/>
    <w:rsid w:val="00112F1A"/>
    <w:rsid w:val="0012183B"/>
    <w:rsid w:val="00150F7C"/>
    <w:rsid w:val="00157854"/>
    <w:rsid w:val="001954C8"/>
    <w:rsid w:val="001D3E09"/>
    <w:rsid w:val="001E41B8"/>
    <w:rsid w:val="001F75F8"/>
    <w:rsid w:val="00213866"/>
    <w:rsid w:val="00216912"/>
    <w:rsid w:val="002252EE"/>
    <w:rsid w:val="00272E9B"/>
    <w:rsid w:val="002758B5"/>
    <w:rsid w:val="00285F98"/>
    <w:rsid w:val="002A0DD4"/>
    <w:rsid w:val="002B681F"/>
    <w:rsid w:val="002D3835"/>
    <w:rsid w:val="002F6E07"/>
    <w:rsid w:val="0032501F"/>
    <w:rsid w:val="00326316"/>
    <w:rsid w:val="00326970"/>
    <w:rsid w:val="0034262A"/>
    <w:rsid w:val="0034520B"/>
    <w:rsid w:val="00356047"/>
    <w:rsid w:val="0035722D"/>
    <w:rsid w:val="00376FA0"/>
    <w:rsid w:val="00397D6B"/>
    <w:rsid w:val="003A404D"/>
    <w:rsid w:val="003C4B4B"/>
    <w:rsid w:val="003E5AE2"/>
    <w:rsid w:val="003F35F5"/>
    <w:rsid w:val="003F3638"/>
    <w:rsid w:val="00413B76"/>
    <w:rsid w:val="00432636"/>
    <w:rsid w:val="00433C87"/>
    <w:rsid w:val="004709CB"/>
    <w:rsid w:val="004B05DE"/>
    <w:rsid w:val="004C742C"/>
    <w:rsid w:val="004D3431"/>
    <w:rsid w:val="004E2CCD"/>
    <w:rsid w:val="00512CDD"/>
    <w:rsid w:val="00562593"/>
    <w:rsid w:val="005678B9"/>
    <w:rsid w:val="00574247"/>
    <w:rsid w:val="0057550A"/>
    <w:rsid w:val="005779D8"/>
    <w:rsid w:val="0059053B"/>
    <w:rsid w:val="005B1411"/>
    <w:rsid w:val="005C5C4B"/>
    <w:rsid w:val="005E09CA"/>
    <w:rsid w:val="0061232C"/>
    <w:rsid w:val="00612FDA"/>
    <w:rsid w:val="00620243"/>
    <w:rsid w:val="0062282F"/>
    <w:rsid w:val="00625EFE"/>
    <w:rsid w:val="00630CDA"/>
    <w:rsid w:val="00636276"/>
    <w:rsid w:val="00650A58"/>
    <w:rsid w:val="00675EB8"/>
    <w:rsid w:val="006844F4"/>
    <w:rsid w:val="00695219"/>
    <w:rsid w:val="006C3173"/>
    <w:rsid w:val="006F23D2"/>
    <w:rsid w:val="007254F1"/>
    <w:rsid w:val="00730DF2"/>
    <w:rsid w:val="007416A3"/>
    <w:rsid w:val="007448B7"/>
    <w:rsid w:val="007469E0"/>
    <w:rsid w:val="0076301A"/>
    <w:rsid w:val="00774EF8"/>
    <w:rsid w:val="007B1A29"/>
    <w:rsid w:val="007D3B6B"/>
    <w:rsid w:val="007E1F3C"/>
    <w:rsid w:val="007E4333"/>
    <w:rsid w:val="007F34C6"/>
    <w:rsid w:val="00800C57"/>
    <w:rsid w:val="00815C44"/>
    <w:rsid w:val="00821C23"/>
    <w:rsid w:val="0084152D"/>
    <w:rsid w:val="00850FFC"/>
    <w:rsid w:val="00855EE6"/>
    <w:rsid w:val="0086083E"/>
    <w:rsid w:val="008627E9"/>
    <w:rsid w:val="00871270"/>
    <w:rsid w:val="00872DA6"/>
    <w:rsid w:val="00884D82"/>
    <w:rsid w:val="00891FE9"/>
    <w:rsid w:val="00892392"/>
    <w:rsid w:val="00893D51"/>
    <w:rsid w:val="008A7399"/>
    <w:rsid w:val="008B0231"/>
    <w:rsid w:val="008B32E5"/>
    <w:rsid w:val="008B3D20"/>
    <w:rsid w:val="008D7A26"/>
    <w:rsid w:val="00915462"/>
    <w:rsid w:val="00917358"/>
    <w:rsid w:val="00941BD4"/>
    <w:rsid w:val="009760B6"/>
    <w:rsid w:val="009A298A"/>
    <w:rsid w:val="009C1EE8"/>
    <w:rsid w:val="009F13FC"/>
    <w:rsid w:val="009F7CDC"/>
    <w:rsid w:val="00A3027A"/>
    <w:rsid w:val="00A371FA"/>
    <w:rsid w:val="00A42B8E"/>
    <w:rsid w:val="00AA5C26"/>
    <w:rsid w:val="00AA71B7"/>
    <w:rsid w:val="00AC2F0C"/>
    <w:rsid w:val="00AC4ED1"/>
    <w:rsid w:val="00AD2272"/>
    <w:rsid w:val="00B23768"/>
    <w:rsid w:val="00B23D93"/>
    <w:rsid w:val="00B30838"/>
    <w:rsid w:val="00B54DF7"/>
    <w:rsid w:val="00B61F4A"/>
    <w:rsid w:val="00BB2AC7"/>
    <w:rsid w:val="00BE414C"/>
    <w:rsid w:val="00BE71BC"/>
    <w:rsid w:val="00BF2F85"/>
    <w:rsid w:val="00C11900"/>
    <w:rsid w:val="00C20F01"/>
    <w:rsid w:val="00C30FFF"/>
    <w:rsid w:val="00C468AA"/>
    <w:rsid w:val="00C536C2"/>
    <w:rsid w:val="00C60212"/>
    <w:rsid w:val="00C75CAF"/>
    <w:rsid w:val="00C97E43"/>
    <w:rsid w:val="00CA04CE"/>
    <w:rsid w:val="00CD6AD6"/>
    <w:rsid w:val="00CE106A"/>
    <w:rsid w:val="00CF1858"/>
    <w:rsid w:val="00D35E6A"/>
    <w:rsid w:val="00D926D2"/>
    <w:rsid w:val="00E0288C"/>
    <w:rsid w:val="00E03D8D"/>
    <w:rsid w:val="00E33C34"/>
    <w:rsid w:val="00E34769"/>
    <w:rsid w:val="00E54BEC"/>
    <w:rsid w:val="00E61D55"/>
    <w:rsid w:val="00E76E5B"/>
    <w:rsid w:val="00EA550D"/>
    <w:rsid w:val="00EB1883"/>
    <w:rsid w:val="00EC52AE"/>
    <w:rsid w:val="00ED77B0"/>
    <w:rsid w:val="00EE39FA"/>
    <w:rsid w:val="00EF0C51"/>
    <w:rsid w:val="00EF0F51"/>
    <w:rsid w:val="00EF2AFA"/>
    <w:rsid w:val="00EF642F"/>
    <w:rsid w:val="00F116D8"/>
    <w:rsid w:val="00F21D47"/>
    <w:rsid w:val="00F35830"/>
    <w:rsid w:val="00F40567"/>
    <w:rsid w:val="00F50B95"/>
    <w:rsid w:val="00F73D6E"/>
    <w:rsid w:val="00F741BC"/>
    <w:rsid w:val="00F84AEF"/>
    <w:rsid w:val="00FA4D20"/>
    <w:rsid w:val="00FE0E64"/>
    <w:rsid w:val="00FE1862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F3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12402-F43B-4817-8DCB-7678EB8A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1847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2025-12-15T15:37:00Z</dcterms:created>
  <dcterms:modified xsi:type="dcterms:W3CDTF">2025-12-15T15:38:00Z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